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9"/>
        <w:ind w:firstLine="0" w:firstLineChars="0"/>
        <w:jc w:val="center"/>
        <w:rPr>
          <w:rFonts w:ascii="宋体" w:hAnsi="宋体"/>
          <w:highlight w:val="none"/>
        </w:rPr>
      </w:pPr>
    </w:p>
    <w:p>
      <w:pPr>
        <w:pStyle w:val="39"/>
        <w:ind w:firstLine="0" w:firstLineChars="0"/>
        <w:jc w:val="center"/>
        <w:rPr>
          <w:rFonts w:ascii="宋体" w:hAnsi="宋体"/>
          <w:highlight w:val="none"/>
        </w:rPr>
      </w:pPr>
    </w:p>
    <w:p>
      <w:pPr>
        <w:spacing w:before="156" w:beforeLines="50" w:after="156" w:afterLines="50"/>
        <w:jc w:val="center"/>
        <w:rPr>
          <w:rFonts w:ascii="宋体" w:hAnsi="宋体"/>
          <w:b/>
          <w:color w:val="FF0000"/>
          <w:sz w:val="48"/>
          <w:szCs w:val="48"/>
          <w:highlight w:val="none"/>
        </w:rPr>
      </w:pPr>
      <w:bookmarkStart w:id="0" w:name="_Toc262477091"/>
      <w:bookmarkStart w:id="1" w:name="_Toc262475853"/>
      <w:bookmarkStart w:id="2" w:name="_Toc262474472"/>
    </w:p>
    <w:p>
      <w:pPr>
        <w:spacing w:before="156" w:beforeLines="50" w:after="156" w:afterLines="50"/>
        <w:jc w:val="center"/>
        <w:rPr>
          <w:rFonts w:ascii="宋体" w:hAnsi="宋体"/>
          <w:b/>
          <w:color w:val="000000"/>
          <w:sz w:val="48"/>
          <w:szCs w:val="48"/>
          <w:highlight w:val="none"/>
        </w:rPr>
      </w:pPr>
      <w:r>
        <w:rPr>
          <w:rFonts w:hint="eastAsia" w:ascii="宋体" w:hAnsi="宋体"/>
          <w:b/>
          <w:color w:val="000000"/>
          <w:sz w:val="48"/>
          <w:szCs w:val="48"/>
          <w:highlight w:val="none"/>
        </w:rPr>
        <w:t>北京华信医院（清华大学第一附属医院）</w:t>
      </w:r>
    </w:p>
    <w:p>
      <w:pPr>
        <w:spacing w:before="156" w:beforeLines="50" w:after="156" w:afterLines="50"/>
        <w:jc w:val="center"/>
        <w:rPr>
          <w:rFonts w:ascii="宋体" w:hAnsi="宋体"/>
          <w:b/>
          <w:color w:val="000000"/>
          <w:sz w:val="48"/>
          <w:szCs w:val="48"/>
          <w:highlight w:val="none"/>
        </w:rPr>
      </w:pPr>
      <w:r>
        <w:rPr>
          <w:rFonts w:hint="eastAsia" w:ascii="宋体" w:hAnsi="宋体"/>
          <w:b/>
          <w:color w:val="000000"/>
          <w:sz w:val="48"/>
          <w:szCs w:val="48"/>
          <w:highlight w:val="none"/>
        </w:rPr>
        <w:t>建院60周年院庆活动</w:t>
      </w:r>
      <w:bookmarkEnd w:id="0"/>
      <w:bookmarkEnd w:id="1"/>
      <w:bookmarkEnd w:id="2"/>
    </w:p>
    <w:p>
      <w:pPr>
        <w:spacing w:before="156" w:beforeLines="50" w:after="156" w:afterLines="50"/>
        <w:jc w:val="center"/>
        <w:rPr>
          <w:rFonts w:ascii="宋体" w:hAnsi="宋体"/>
          <w:color w:val="000000"/>
          <w:highlight w:val="none"/>
        </w:rPr>
      </w:pPr>
    </w:p>
    <w:p>
      <w:pPr>
        <w:jc w:val="center"/>
        <w:rPr>
          <w:rFonts w:ascii="宋体" w:hAnsi="宋体"/>
          <w:b/>
          <w:sz w:val="52"/>
          <w:szCs w:val="52"/>
          <w:highlight w:val="none"/>
        </w:rPr>
      </w:pPr>
      <w:r>
        <w:rPr>
          <w:rFonts w:hint="eastAsia" w:ascii="宋体" w:hAnsi="宋体"/>
          <w:b/>
          <w:sz w:val="52"/>
          <w:szCs w:val="52"/>
          <w:highlight w:val="none"/>
        </w:rPr>
        <w:t>招</w:t>
      </w:r>
    </w:p>
    <w:p>
      <w:pPr>
        <w:jc w:val="center"/>
        <w:rPr>
          <w:rFonts w:ascii="宋体" w:hAnsi="宋体"/>
          <w:b/>
          <w:sz w:val="52"/>
          <w:szCs w:val="52"/>
          <w:highlight w:val="none"/>
        </w:rPr>
      </w:pPr>
      <w:r>
        <w:rPr>
          <w:rFonts w:hint="eastAsia" w:ascii="宋体" w:hAnsi="宋体"/>
          <w:b/>
          <w:sz w:val="52"/>
          <w:szCs w:val="52"/>
          <w:highlight w:val="none"/>
        </w:rPr>
        <w:t>标</w:t>
      </w:r>
    </w:p>
    <w:p>
      <w:pPr>
        <w:jc w:val="center"/>
        <w:rPr>
          <w:rFonts w:ascii="宋体" w:hAnsi="宋体"/>
          <w:b/>
          <w:sz w:val="52"/>
          <w:szCs w:val="52"/>
          <w:highlight w:val="none"/>
        </w:rPr>
      </w:pPr>
      <w:r>
        <w:rPr>
          <w:rFonts w:hint="eastAsia" w:ascii="宋体" w:hAnsi="宋体"/>
          <w:b/>
          <w:sz w:val="52"/>
          <w:szCs w:val="52"/>
          <w:highlight w:val="none"/>
        </w:rPr>
        <w:t>文</w:t>
      </w:r>
    </w:p>
    <w:p>
      <w:pPr>
        <w:jc w:val="center"/>
        <w:rPr>
          <w:rFonts w:ascii="宋体" w:hAnsi="宋体"/>
          <w:b/>
          <w:sz w:val="52"/>
          <w:szCs w:val="52"/>
          <w:highlight w:val="none"/>
        </w:rPr>
      </w:pPr>
      <w:r>
        <w:rPr>
          <w:rFonts w:hint="eastAsia" w:ascii="宋体" w:hAnsi="宋体"/>
          <w:b/>
          <w:sz w:val="52"/>
          <w:szCs w:val="52"/>
          <w:highlight w:val="none"/>
        </w:rPr>
        <w:t>件</w:t>
      </w:r>
    </w:p>
    <w:p>
      <w:pPr>
        <w:spacing w:line="380" w:lineRule="exact"/>
        <w:rPr>
          <w:rFonts w:ascii="宋体" w:hAnsi="宋体"/>
          <w:sz w:val="44"/>
          <w:szCs w:val="44"/>
          <w:highlight w:val="none"/>
        </w:rPr>
      </w:pPr>
    </w:p>
    <w:p>
      <w:pPr>
        <w:spacing w:line="380" w:lineRule="exact"/>
        <w:rPr>
          <w:rFonts w:ascii="宋体" w:hAnsi="宋体"/>
          <w:sz w:val="44"/>
          <w:szCs w:val="44"/>
          <w:highlight w:val="none"/>
        </w:rPr>
      </w:pPr>
    </w:p>
    <w:p>
      <w:pPr>
        <w:spacing w:line="380" w:lineRule="exact"/>
        <w:rPr>
          <w:rFonts w:ascii="宋体" w:hAnsi="宋体"/>
          <w:sz w:val="44"/>
          <w:szCs w:val="44"/>
          <w:highlight w:val="none"/>
        </w:rPr>
      </w:pPr>
    </w:p>
    <w:p>
      <w:pPr>
        <w:spacing w:line="380" w:lineRule="exact"/>
        <w:rPr>
          <w:rFonts w:ascii="宋体" w:hAnsi="宋体"/>
          <w:sz w:val="44"/>
          <w:szCs w:val="44"/>
          <w:highlight w:val="none"/>
        </w:rPr>
      </w:pPr>
    </w:p>
    <w:p>
      <w:pPr>
        <w:spacing w:line="380" w:lineRule="exact"/>
        <w:rPr>
          <w:rFonts w:ascii="宋体" w:hAnsi="宋体"/>
          <w:sz w:val="44"/>
          <w:szCs w:val="44"/>
          <w:highlight w:val="none"/>
        </w:rPr>
      </w:pPr>
    </w:p>
    <w:p>
      <w:pPr>
        <w:spacing w:line="520" w:lineRule="exact"/>
        <w:jc w:val="center"/>
        <w:rPr>
          <w:rFonts w:ascii="宋体" w:hAnsi="宋体"/>
          <w:sz w:val="44"/>
          <w:szCs w:val="44"/>
          <w:highlight w:val="none"/>
        </w:rPr>
      </w:pPr>
      <w:r>
        <w:rPr>
          <w:rFonts w:hint="eastAsia" w:ascii="宋体" w:hAnsi="宋体"/>
          <w:sz w:val="44"/>
          <w:szCs w:val="44"/>
          <w:highlight w:val="none"/>
        </w:rPr>
        <w:t>北京华信医院</w:t>
      </w:r>
    </w:p>
    <w:p>
      <w:pPr>
        <w:spacing w:before="156" w:beforeLines="50" w:line="380" w:lineRule="exact"/>
        <w:jc w:val="center"/>
        <w:rPr>
          <w:rFonts w:ascii="宋体" w:hAnsi="宋体"/>
          <w:color w:val="000000"/>
          <w:sz w:val="44"/>
          <w:szCs w:val="44"/>
          <w:highlight w:val="none"/>
        </w:rPr>
      </w:pPr>
      <w:r>
        <w:rPr>
          <w:rFonts w:hint="eastAsia" w:ascii="宋体" w:hAnsi="宋体"/>
          <w:color w:val="000000"/>
          <w:sz w:val="44"/>
          <w:szCs w:val="44"/>
          <w:highlight w:val="none"/>
        </w:rPr>
        <w:t>二〇一九年七月</w:t>
      </w:r>
    </w:p>
    <w:p>
      <w:pPr>
        <w:spacing w:line="380" w:lineRule="exact"/>
        <w:jc w:val="center"/>
        <w:rPr>
          <w:rFonts w:ascii="宋体" w:hAnsi="宋体"/>
          <w:sz w:val="44"/>
          <w:szCs w:val="44"/>
          <w:highlight w:val="none"/>
        </w:rPr>
      </w:pPr>
    </w:p>
    <w:p>
      <w:pPr>
        <w:widowControl/>
        <w:jc w:val="left"/>
        <w:rPr>
          <w:rFonts w:ascii="宋体" w:hAnsi="宋体"/>
          <w:b/>
          <w:bCs/>
          <w:caps/>
          <w:color w:val="FF0000"/>
          <w:sz w:val="20"/>
          <w:szCs w:val="20"/>
          <w:highlight w:val="none"/>
        </w:rPr>
      </w:pPr>
      <w:r>
        <w:rPr>
          <w:rFonts w:ascii="宋体" w:hAnsi="宋体"/>
          <w:color w:val="FF0000"/>
          <w:highlight w:val="none"/>
        </w:rPr>
        <w:br w:type="page"/>
      </w:r>
      <w:r>
        <w:rPr>
          <w:rFonts w:hint="eastAsia" w:ascii="宋体" w:hAnsi="宋体"/>
          <w:sz w:val="36"/>
          <w:szCs w:val="36"/>
          <w:highlight w:val="none"/>
        </w:rPr>
        <w:t>目  录</w:t>
      </w:r>
    </w:p>
    <w:p>
      <w:pPr>
        <w:pStyle w:val="25"/>
        <w:tabs>
          <w:tab w:val="right" w:leader="dot" w:pos="9049"/>
        </w:tabs>
        <w:rPr>
          <w:highlight w:val="none"/>
        </w:rPr>
      </w:pPr>
      <w:r>
        <w:rPr>
          <w:rFonts w:ascii="宋体" w:hAnsi="宋体"/>
          <w:b w:val="0"/>
          <w:sz w:val="36"/>
          <w:szCs w:val="36"/>
          <w:highlight w:val="none"/>
        </w:rPr>
        <w:fldChar w:fldCharType="begin"/>
      </w:r>
      <w:r>
        <w:rPr>
          <w:rFonts w:ascii="宋体" w:hAnsi="宋体"/>
          <w:b w:val="0"/>
          <w:sz w:val="36"/>
          <w:szCs w:val="36"/>
          <w:highlight w:val="none"/>
        </w:rPr>
        <w:instrText xml:space="preserve"> TOC \o "1-3" \h \z \u </w:instrText>
      </w:r>
      <w:r>
        <w:rPr>
          <w:rFonts w:ascii="宋体" w:hAnsi="宋体"/>
          <w:b w:val="0"/>
          <w:sz w:val="36"/>
          <w:szCs w:val="36"/>
          <w:highlight w:val="none"/>
        </w:rPr>
        <w:fldChar w:fldCharType="separate"/>
      </w:r>
      <w:r>
        <w:rPr>
          <w:highlight w:val="none"/>
        </w:rPr>
        <w:fldChar w:fldCharType="begin"/>
      </w:r>
      <w:r>
        <w:rPr>
          <w:highlight w:val="none"/>
        </w:rPr>
        <w:instrText xml:space="preserve"> HYPERLINK \l "_Toc12940" </w:instrText>
      </w:r>
      <w:r>
        <w:rPr>
          <w:highlight w:val="none"/>
        </w:rPr>
        <w:fldChar w:fldCharType="separate"/>
      </w:r>
      <w:r>
        <w:rPr>
          <w:rFonts w:hint="eastAsia" w:ascii="宋体" w:hAnsi="宋体"/>
          <w:highlight w:val="none"/>
        </w:rPr>
        <w:t>1 投标公告</w:t>
      </w:r>
      <w:r>
        <w:rPr>
          <w:highlight w:val="none"/>
        </w:rPr>
        <w:tab/>
      </w:r>
      <w:r>
        <w:rPr>
          <w:highlight w:val="none"/>
        </w:rPr>
        <w:fldChar w:fldCharType="begin"/>
      </w:r>
      <w:r>
        <w:rPr>
          <w:highlight w:val="none"/>
        </w:rPr>
        <w:instrText xml:space="preserve"> PAGEREF _Toc12940 </w:instrText>
      </w:r>
      <w:r>
        <w:rPr>
          <w:highlight w:val="none"/>
        </w:rPr>
        <w:fldChar w:fldCharType="separate"/>
      </w:r>
      <w:r>
        <w:rPr>
          <w:highlight w:val="none"/>
        </w:rPr>
        <w:t>- 1 -</w:t>
      </w:r>
      <w:r>
        <w:rPr>
          <w:highlight w:val="none"/>
        </w:rPr>
        <w:fldChar w:fldCharType="end"/>
      </w:r>
      <w:r>
        <w:rPr>
          <w:highlight w:val="none"/>
        </w:rPr>
        <w:fldChar w:fldCharType="end"/>
      </w:r>
    </w:p>
    <w:p>
      <w:pPr>
        <w:pStyle w:val="25"/>
        <w:tabs>
          <w:tab w:val="right" w:leader="dot" w:pos="9049"/>
        </w:tabs>
        <w:rPr>
          <w:highlight w:val="none"/>
        </w:rPr>
      </w:pPr>
      <w:r>
        <w:rPr>
          <w:highlight w:val="none"/>
        </w:rPr>
        <w:fldChar w:fldCharType="begin"/>
      </w:r>
      <w:r>
        <w:rPr>
          <w:highlight w:val="none"/>
        </w:rPr>
        <w:instrText xml:space="preserve"> HYPERLINK \l "_Toc9572" </w:instrText>
      </w:r>
      <w:r>
        <w:rPr>
          <w:highlight w:val="none"/>
        </w:rPr>
        <w:fldChar w:fldCharType="separate"/>
      </w:r>
      <w:r>
        <w:rPr>
          <w:rFonts w:hint="eastAsia" w:ascii="宋体" w:hAnsi="宋体"/>
          <w:highlight w:val="none"/>
        </w:rPr>
        <w:t>2 投标人须知</w:t>
      </w:r>
      <w:r>
        <w:rPr>
          <w:highlight w:val="none"/>
        </w:rPr>
        <w:tab/>
      </w:r>
      <w:r>
        <w:rPr>
          <w:highlight w:val="none"/>
        </w:rPr>
        <w:fldChar w:fldCharType="begin"/>
      </w:r>
      <w:r>
        <w:rPr>
          <w:highlight w:val="none"/>
        </w:rPr>
        <w:instrText xml:space="preserve"> PAGEREF _Toc9572 </w:instrText>
      </w:r>
      <w:r>
        <w:rPr>
          <w:highlight w:val="none"/>
        </w:rPr>
        <w:fldChar w:fldCharType="separate"/>
      </w:r>
      <w:r>
        <w:rPr>
          <w:highlight w:val="none"/>
        </w:rPr>
        <w:t>- 2 -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"_Toc10688" </w:instrText>
      </w:r>
      <w:r>
        <w:rPr>
          <w:highlight w:val="none"/>
        </w:rPr>
        <w:fldChar w:fldCharType="separate"/>
      </w:r>
      <w:r>
        <w:rPr>
          <w:rFonts w:hint="eastAsia" w:ascii="宋体" w:hAnsi="宋体"/>
          <w:highlight w:val="none"/>
        </w:rPr>
        <w:t>2.1 总则</w:t>
      </w:r>
      <w:r>
        <w:rPr>
          <w:highlight w:val="none"/>
        </w:rPr>
        <w:tab/>
      </w:r>
      <w:r>
        <w:rPr>
          <w:highlight w:val="none"/>
        </w:rPr>
        <w:fldChar w:fldCharType="begin"/>
      </w:r>
      <w:r>
        <w:rPr>
          <w:highlight w:val="none"/>
        </w:rPr>
        <w:instrText xml:space="preserve"> PAGEREF _Toc10688 </w:instrText>
      </w:r>
      <w:r>
        <w:rPr>
          <w:highlight w:val="none"/>
        </w:rPr>
        <w:fldChar w:fldCharType="separate"/>
      </w:r>
      <w:r>
        <w:rPr>
          <w:highlight w:val="none"/>
        </w:rPr>
        <w:t>- 2 -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"_Toc10290" </w:instrText>
      </w:r>
      <w:r>
        <w:rPr>
          <w:highlight w:val="none"/>
        </w:rPr>
        <w:fldChar w:fldCharType="separate"/>
      </w:r>
      <w:r>
        <w:rPr>
          <w:rFonts w:hint="eastAsia" w:ascii="宋体" w:hAnsi="宋体"/>
          <w:highlight w:val="none"/>
        </w:rPr>
        <w:t>2.2 定义</w:t>
      </w:r>
      <w:r>
        <w:rPr>
          <w:highlight w:val="none"/>
        </w:rPr>
        <w:tab/>
      </w:r>
      <w:r>
        <w:rPr>
          <w:highlight w:val="none"/>
        </w:rPr>
        <w:fldChar w:fldCharType="begin"/>
      </w:r>
      <w:r>
        <w:rPr>
          <w:highlight w:val="none"/>
        </w:rPr>
        <w:instrText xml:space="preserve"> PAGEREF _Toc10290 </w:instrText>
      </w:r>
      <w:r>
        <w:rPr>
          <w:highlight w:val="none"/>
        </w:rPr>
        <w:fldChar w:fldCharType="separate"/>
      </w:r>
      <w:r>
        <w:rPr>
          <w:highlight w:val="none"/>
        </w:rPr>
        <w:t>- 2 -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"_Toc25526" </w:instrText>
      </w:r>
      <w:r>
        <w:rPr>
          <w:highlight w:val="none"/>
        </w:rPr>
        <w:fldChar w:fldCharType="separate"/>
      </w:r>
      <w:r>
        <w:rPr>
          <w:rFonts w:hint="eastAsia" w:ascii="宋体" w:hAnsi="宋体"/>
          <w:highlight w:val="none"/>
        </w:rPr>
        <w:t xml:space="preserve">2.3 </w:t>
      </w:r>
      <w:r>
        <w:rPr>
          <w:rFonts w:hint="eastAsia" w:ascii="宋体" w:hAnsi="宋体"/>
          <w:szCs w:val="24"/>
          <w:highlight w:val="none"/>
        </w:rPr>
        <w:t>项目实施方</w:t>
      </w:r>
      <w:r>
        <w:rPr>
          <w:rFonts w:hint="eastAsia" w:ascii="宋体" w:hAnsi="宋体"/>
          <w:highlight w:val="none"/>
        </w:rPr>
        <w:t>式</w:t>
      </w:r>
      <w:r>
        <w:rPr>
          <w:highlight w:val="none"/>
        </w:rPr>
        <w:tab/>
      </w:r>
      <w:r>
        <w:rPr>
          <w:highlight w:val="none"/>
        </w:rPr>
        <w:fldChar w:fldCharType="begin"/>
      </w:r>
      <w:r>
        <w:rPr>
          <w:highlight w:val="none"/>
        </w:rPr>
        <w:instrText xml:space="preserve"> PAGEREF _Toc25526 </w:instrText>
      </w:r>
      <w:r>
        <w:rPr>
          <w:highlight w:val="none"/>
        </w:rPr>
        <w:fldChar w:fldCharType="separate"/>
      </w:r>
      <w:r>
        <w:rPr>
          <w:highlight w:val="none"/>
        </w:rPr>
        <w:t>- 2 -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"_Toc16462" </w:instrText>
      </w:r>
      <w:r>
        <w:rPr>
          <w:highlight w:val="none"/>
        </w:rPr>
        <w:fldChar w:fldCharType="separate"/>
      </w:r>
      <w:r>
        <w:rPr>
          <w:rFonts w:hint="eastAsia" w:ascii="宋体" w:hAnsi="宋体"/>
          <w:highlight w:val="none"/>
        </w:rPr>
        <w:t>2.4 投标人须知</w:t>
      </w:r>
      <w:r>
        <w:rPr>
          <w:highlight w:val="none"/>
        </w:rPr>
        <w:tab/>
      </w:r>
      <w:r>
        <w:rPr>
          <w:highlight w:val="none"/>
        </w:rPr>
        <w:fldChar w:fldCharType="begin"/>
      </w:r>
      <w:r>
        <w:rPr>
          <w:highlight w:val="none"/>
        </w:rPr>
        <w:instrText xml:space="preserve"> PAGEREF _Toc16462 </w:instrText>
      </w:r>
      <w:r>
        <w:rPr>
          <w:highlight w:val="none"/>
        </w:rPr>
        <w:fldChar w:fldCharType="separate"/>
      </w:r>
      <w:r>
        <w:rPr>
          <w:highlight w:val="none"/>
        </w:rPr>
        <w:t>- 2 -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"_Toc8713" </w:instrText>
      </w:r>
      <w:r>
        <w:rPr>
          <w:highlight w:val="none"/>
        </w:rPr>
        <w:fldChar w:fldCharType="separate"/>
      </w:r>
      <w:r>
        <w:rPr>
          <w:rFonts w:hint="eastAsia" w:ascii="宋体" w:hAnsi="宋体"/>
          <w:highlight w:val="none"/>
        </w:rPr>
        <w:t>2.5 投标单位资质要求</w:t>
      </w:r>
      <w:r>
        <w:rPr>
          <w:highlight w:val="none"/>
        </w:rPr>
        <w:tab/>
      </w:r>
      <w:r>
        <w:rPr>
          <w:highlight w:val="none"/>
        </w:rPr>
        <w:fldChar w:fldCharType="begin"/>
      </w:r>
      <w:r>
        <w:rPr>
          <w:highlight w:val="none"/>
        </w:rPr>
        <w:instrText xml:space="preserve"> PAGEREF _Toc8713 </w:instrText>
      </w:r>
      <w:r>
        <w:rPr>
          <w:highlight w:val="none"/>
        </w:rPr>
        <w:fldChar w:fldCharType="separate"/>
      </w:r>
      <w:r>
        <w:rPr>
          <w:highlight w:val="none"/>
        </w:rPr>
        <w:t>- 3 -</w:t>
      </w:r>
      <w:r>
        <w:rPr>
          <w:highlight w:val="none"/>
        </w:rPr>
        <w:fldChar w:fldCharType="end"/>
      </w:r>
      <w:r>
        <w:rPr>
          <w:highlight w:val="none"/>
        </w:rPr>
        <w:fldChar w:fldCharType="end"/>
      </w:r>
    </w:p>
    <w:p>
      <w:pPr>
        <w:pStyle w:val="25"/>
        <w:tabs>
          <w:tab w:val="right" w:leader="dot" w:pos="9049"/>
        </w:tabs>
        <w:rPr>
          <w:highlight w:val="none"/>
        </w:rPr>
      </w:pPr>
      <w:r>
        <w:rPr>
          <w:highlight w:val="none"/>
        </w:rPr>
        <w:fldChar w:fldCharType="begin"/>
      </w:r>
      <w:r>
        <w:rPr>
          <w:highlight w:val="none"/>
        </w:rPr>
        <w:instrText xml:space="preserve"> HYPERLINK \l "_Toc26498" </w:instrText>
      </w:r>
      <w:r>
        <w:rPr>
          <w:highlight w:val="none"/>
        </w:rPr>
        <w:fldChar w:fldCharType="separate"/>
      </w:r>
      <w:r>
        <w:rPr>
          <w:rFonts w:hint="eastAsia" w:ascii="宋体" w:hAnsi="宋体"/>
          <w:highlight w:val="none"/>
        </w:rPr>
        <w:t>3 招标文件</w:t>
      </w:r>
      <w:r>
        <w:rPr>
          <w:highlight w:val="none"/>
        </w:rPr>
        <w:tab/>
      </w:r>
      <w:r>
        <w:rPr>
          <w:highlight w:val="none"/>
        </w:rPr>
        <w:fldChar w:fldCharType="begin"/>
      </w:r>
      <w:r>
        <w:rPr>
          <w:highlight w:val="none"/>
        </w:rPr>
        <w:instrText xml:space="preserve"> PAGEREF _Toc26498 </w:instrText>
      </w:r>
      <w:r>
        <w:rPr>
          <w:highlight w:val="none"/>
        </w:rPr>
        <w:fldChar w:fldCharType="separate"/>
      </w:r>
      <w:r>
        <w:rPr>
          <w:highlight w:val="none"/>
        </w:rPr>
        <w:t>- 4 -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"_Toc9102" </w:instrText>
      </w:r>
      <w:r>
        <w:rPr>
          <w:highlight w:val="none"/>
        </w:rPr>
        <w:fldChar w:fldCharType="separate"/>
      </w:r>
      <w:r>
        <w:rPr>
          <w:rFonts w:hint="eastAsia" w:ascii="宋体" w:hAnsi="宋体"/>
          <w:highlight w:val="none"/>
        </w:rPr>
        <w:t>3.1 招标文件的组成</w:t>
      </w:r>
      <w:r>
        <w:rPr>
          <w:highlight w:val="none"/>
        </w:rPr>
        <w:tab/>
      </w:r>
      <w:r>
        <w:rPr>
          <w:highlight w:val="none"/>
        </w:rPr>
        <w:fldChar w:fldCharType="begin"/>
      </w:r>
      <w:r>
        <w:rPr>
          <w:highlight w:val="none"/>
        </w:rPr>
        <w:instrText xml:space="preserve"> PAGEREF _Toc9102 </w:instrText>
      </w:r>
      <w:r>
        <w:rPr>
          <w:highlight w:val="none"/>
        </w:rPr>
        <w:fldChar w:fldCharType="separate"/>
      </w:r>
      <w:r>
        <w:rPr>
          <w:highlight w:val="none"/>
        </w:rPr>
        <w:t>- 4 -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"_Toc9397" </w:instrText>
      </w:r>
      <w:r>
        <w:rPr>
          <w:highlight w:val="none"/>
        </w:rPr>
        <w:fldChar w:fldCharType="separate"/>
      </w:r>
      <w:r>
        <w:rPr>
          <w:rFonts w:hint="eastAsia" w:ascii="宋体" w:hAnsi="宋体"/>
          <w:highlight w:val="none"/>
        </w:rPr>
        <w:t>3.2 招标文件的澄清</w:t>
      </w:r>
      <w:r>
        <w:rPr>
          <w:highlight w:val="none"/>
        </w:rPr>
        <w:tab/>
      </w:r>
      <w:r>
        <w:rPr>
          <w:highlight w:val="none"/>
        </w:rPr>
        <w:fldChar w:fldCharType="begin"/>
      </w:r>
      <w:r>
        <w:rPr>
          <w:highlight w:val="none"/>
        </w:rPr>
        <w:instrText xml:space="preserve"> PAGEREF _Toc9397 </w:instrText>
      </w:r>
      <w:r>
        <w:rPr>
          <w:highlight w:val="none"/>
        </w:rPr>
        <w:fldChar w:fldCharType="separate"/>
      </w:r>
      <w:r>
        <w:rPr>
          <w:highlight w:val="none"/>
        </w:rPr>
        <w:t>- 4 -</w:t>
      </w:r>
      <w:r>
        <w:rPr>
          <w:highlight w:val="none"/>
        </w:rPr>
        <w:fldChar w:fldCharType="end"/>
      </w:r>
      <w:r>
        <w:rPr>
          <w:highlight w:val="none"/>
        </w:rPr>
        <w:fldChar w:fldCharType="end"/>
      </w:r>
    </w:p>
    <w:p>
      <w:pPr>
        <w:pStyle w:val="25"/>
        <w:tabs>
          <w:tab w:val="right" w:leader="dot" w:pos="9049"/>
        </w:tabs>
        <w:rPr>
          <w:highlight w:val="none"/>
        </w:rPr>
      </w:pPr>
      <w:r>
        <w:rPr>
          <w:highlight w:val="none"/>
        </w:rPr>
        <w:fldChar w:fldCharType="begin"/>
      </w:r>
      <w:r>
        <w:rPr>
          <w:highlight w:val="none"/>
        </w:rPr>
        <w:instrText xml:space="preserve"> HYPERLINK \l "_Toc12622" </w:instrText>
      </w:r>
      <w:r>
        <w:rPr>
          <w:highlight w:val="none"/>
        </w:rPr>
        <w:fldChar w:fldCharType="separate"/>
      </w:r>
      <w:r>
        <w:rPr>
          <w:rFonts w:hint="eastAsia" w:ascii="宋体" w:hAnsi="宋体"/>
          <w:highlight w:val="none"/>
        </w:rPr>
        <w:t>4 投标文件的内容和要求</w:t>
      </w:r>
      <w:r>
        <w:rPr>
          <w:highlight w:val="none"/>
        </w:rPr>
        <w:tab/>
      </w:r>
      <w:r>
        <w:rPr>
          <w:highlight w:val="none"/>
        </w:rPr>
        <w:fldChar w:fldCharType="begin"/>
      </w:r>
      <w:r>
        <w:rPr>
          <w:highlight w:val="none"/>
        </w:rPr>
        <w:instrText xml:space="preserve"> PAGEREF _Toc12622 </w:instrText>
      </w:r>
      <w:r>
        <w:rPr>
          <w:highlight w:val="none"/>
        </w:rPr>
        <w:fldChar w:fldCharType="separate"/>
      </w:r>
      <w:r>
        <w:rPr>
          <w:highlight w:val="none"/>
        </w:rPr>
        <w:t>- 5 -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"_Toc2953" </w:instrText>
      </w:r>
      <w:r>
        <w:rPr>
          <w:highlight w:val="none"/>
        </w:rPr>
        <w:fldChar w:fldCharType="separate"/>
      </w:r>
      <w:r>
        <w:rPr>
          <w:rFonts w:hint="eastAsia" w:ascii="宋体" w:hAnsi="宋体"/>
          <w:highlight w:val="none"/>
        </w:rPr>
        <w:t>4.1 投标文件计量单位</w:t>
      </w:r>
      <w:r>
        <w:rPr>
          <w:highlight w:val="none"/>
        </w:rPr>
        <w:tab/>
      </w:r>
      <w:r>
        <w:rPr>
          <w:highlight w:val="none"/>
        </w:rPr>
        <w:fldChar w:fldCharType="begin"/>
      </w:r>
      <w:r>
        <w:rPr>
          <w:highlight w:val="none"/>
        </w:rPr>
        <w:instrText xml:space="preserve"> PAGEREF _Toc2953 </w:instrText>
      </w:r>
      <w:r>
        <w:rPr>
          <w:highlight w:val="none"/>
        </w:rPr>
        <w:fldChar w:fldCharType="separate"/>
      </w:r>
      <w:r>
        <w:rPr>
          <w:highlight w:val="none"/>
        </w:rPr>
        <w:t>- 5 -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"_Toc11320" </w:instrText>
      </w:r>
      <w:r>
        <w:rPr>
          <w:highlight w:val="none"/>
        </w:rPr>
        <w:fldChar w:fldCharType="separate"/>
      </w:r>
      <w:r>
        <w:rPr>
          <w:rFonts w:hint="eastAsia" w:ascii="宋体" w:hAnsi="宋体"/>
          <w:highlight w:val="none"/>
        </w:rPr>
        <w:t>4.2 投标文件组成</w:t>
      </w:r>
      <w:r>
        <w:rPr>
          <w:highlight w:val="none"/>
        </w:rPr>
        <w:tab/>
      </w:r>
      <w:r>
        <w:rPr>
          <w:highlight w:val="none"/>
        </w:rPr>
        <w:fldChar w:fldCharType="begin"/>
      </w:r>
      <w:r>
        <w:rPr>
          <w:highlight w:val="none"/>
        </w:rPr>
        <w:instrText xml:space="preserve"> PAGEREF _Toc11320 </w:instrText>
      </w:r>
      <w:r>
        <w:rPr>
          <w:highlight w:val="none"/>
        </w:rPr>
        <w:fldChar w:fldCharType="separate"/>
      </w:r>
      <w:r>
        <w:rPr>
          <w:highlight w:val="none"/>
        </w:rPr>
        <w:t>- 5 -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"_Toc28088" </w:instrText>
      </w:r>
      <w:r>
        <w:rPr>
          <w:highlight w:val="none"/>
        </w:rPr>
        <w:fldChar w:fldCharType="separate"/>
      </w:r>
      <w:r>
        <w:rPr>
          <w:rFonts w:hint="eastAsia" w:ascii="宋体" w:hAnsi="宋体"/>
          <w:highlight w:val="none"/>
        </w:rPr>
        <w:t>4.3 投标文件的有效期</w:t>
      </w:r>
      <w:r>
        <w:rPr>
          <w:highlight w:val="none"/>
        </w:rPr>
        <w:tab/>
      </w:r>
      <w:r>
        <w:rPr>
          <w:highlight w:val="none"/>
        </w:rPr>
        <w:fldChar w:fldCharType="begin"/>
      </w:r>
      <w:r>
        <w:rPr>
          <w:highlight w:val="none"/>
        </w:rPr>
        <w:instrText xml:space="preserve"> PAGEREF _Toc28088 </w:instrText>
      </w:r>
      <w:r>
        <w:rPr>
          <w:highlight w:val="none"/>
        </w:rPr>
        <w:fldChar w:fldCharType="separate"/>
      </w:r>
      <w:r>
        <w:rPr>
          <w:highlight w:val="none"/>
        </w:rPr>
        <w:t>- 6 -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"_Toc27005" </w:instrText>
      </w:r>
      <w:r>
        <w:rPr>
          <w:highlight w:val="none"/>
        </w:rPr>
        <w:fldChar w:fldCharType="separate"/>
      </w:r>
      <w:r>
        <w:rPr>
          <w:rFonts w:hint="eastAsia" w:ascii="宋体" w:hAnsi="宋体"/>
          <w:highlight w:val="none"/>
        </w:rPr>
        <w:t>4.4 投标文件格式</w:t>
      </w:r>
      <w:r>
        <w:rPr>
          <w:highlight w:val="none"/>
        </w:rPr>
        <w:tab/>
      </w:r>
      <w:r>
        <w:rPr>
          <w:highlight w:val="none"/>
        </w:rPr>
        <w:fldChar w:fldCharType="begin"/>
      </w:r>
      <w:r>
        <w:rPr>
          <w:highlight w:val="none"/>
        </w:rPr>
        <w:instrText xml:space="preserve"> PAGEREF _Toc27005 </w:instrText>
      </w:r>
      <w:r>
        <w:rPr>
          <w:highlight w:val="none"/>
        </w:rPr>
        <w:fldChar w:fldCharType="separate"/>
      </w:r>
      <w:r>
        <w:rPr>
          <w:highlight w:val="none"/>
        </w:rPr>
        <w:t>- 6 -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"_Toc29836" </w:instrText>
      </w:r>
      <w:r>
        <w:rPr>
          <w:highlight w:val="none"/>
        </w:rPr>
        <w:fldChar w:fldCharType="separate"/>
      </w:r>
      <w:r>
        <w:rPr>
          <w:rFonts w:hint="eastAsia" w:ascii="宋体" w:hAnsi="宋体"/>
          <w:highlight w:val="none"/>
        </w:rPr>
        <w:t>4.5 投标文件的装袋、密封和递交</w:t>
      </w:r>
      <w:r>
        <w:rPr>
          <w:highlight w:val="none"/>
        </w:rPr>
        <w:tab/>
      </w:r>
      <w:r>
        <w:rPr>
          <w:highlight w:val="none"/>
        </w:rPr>
        <w:fldChar w:fldCharType="begin"/>
      </w:r>
      <w:r>
        <w:rPr>
          <w:highlight w:val="none"/>
        </w:rPr>
        <w:instrText xml:space="preserve"> PAGEREF _Toc29836 </w:instrText>
      </w:r>
      <w:r>
        <w:rPr>
          <w:highlight w:val="none"/>
        </w:rPr>
        <w:fldChar w:fldCharType="separate"/>
      </w:r>
      <w:r>
        <w:rPr>
          <w:highlight w:val="none"/>
        </w:rPr>
        <w:t>- 6 -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"_Toc23221" </w:instrText>
      </w:r>
      <w:r>
        <w:rPr>
          <w:highlight w:val="none"/>
        </w:rPr>
        <w:fldChar w:fldCharType="separate"/>
      </w:r>
      <w:r>
        <w:rPr>
          <w:rFonts w:hint="eastAsia" w:ascii="宋体" w:hAnsi="宋体"/>
          <w:highlight w:val="none"/>
        </w:rPr>
        <w:t>4.6 投标文件的澄清</w:t>
      </w:r>
      <w:r>
        <w:rPr>
          <w:highlight w:val="none"/>
        </w:rPr>
        <w:tab/>
      </w:r>
      <w:r>
        <w:rPr>
          <w:highlight w:val="none"/>
        </w:rPr>
        <w:fldChar w:fldCharType="begin"/>
      </w:r>
      <w:r>
        <w:rPr>
          <w:highlight w:val="none"/>
        </w:rPr>
        <w:instrText xml:space="preserve"> PAGEREF _Toc23221 </w:instrText>
      </w:r>
      <w:r>
        <w:rPr>
          <w:highlight w:val="none"/>
        </w:rPr>
        <w:fldChar w:fldCharType="separate"/>
      </w:r>
      <w:r>
        <w:rPr>
          <w:highlight w:val="none"/>
        </w:rPr>
        <w:t>- 6 -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"_Toc19175" </w:instrText>
      </w:r>
      <w:r>
        <w:rPr>
          <w:highlight w:val="none"/>
        </w:rPr>
        <w:fldChar w:fldCharType="separate"/>
      </w:r>
      <w:r>
        <w:rPr>
          <w:rFonts w:hint="eastAsia" w:ascii="宋体" w:hAnsi="宋体"/>
          <w:highlight w:val="none"/>
        </w:rPr>
        <w:t>4.7 废标条件</w:t>
      </w:r>
      <w:r>
        <w:rPr>
          <w:highlight w:val="none"/>
        </w:rPr>
        <w:tab/>
      </w:r>
      <w:r>
        <w:rPr>
          <w:highlight w:val="none"/>
        </w:rPr>
        <w:fldChar w:fldCharType="begin"/>
      </w:r>
      <w:r>
        <w:rPr>
          <w:highlight w:val="none"/>
        </w:rPr>
        <w:instrText xml:space="preserve"> PAGEREF _Toc19175 </w:instrText>
      </w:r>
      <w:r>
        <w:rPr>
          <w:highlight w:val="none"/>
        </w:rPr>
        <w:fldChar w:fldCharType="separate"/>
      </w:r>
      <w:r>
        <w:rPr>
          <w:highlight w:val="none"/>
        </w:rPr>
        <w:t>- 7 -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"_Toc10299" </w:instrText>
      </w:r>
      <w:r>
        <w:rPr>
          <w:highlight w:val="none"/>
        </w:rPr>
        <w:fldChar w:fldCharType="separate"/>
      </w:r>
      <w:r>
        <w:rPr>
          <w:rFonts w:hint="eastAsia" w:ascii="宋体" w:hAnsi="宋体"/>
          <w:highlight w:val="none"/>
        </w:rPr>
        <w:t>4.8 开标</w:t>
      </w:r>
      <w:r>
        <w:rPr>
          <w:highlight w:val="none"/>
        </w:rPr>
        <w:tab/>
      </w:r>
      <w:r>
        <w:rPr>
          <w:highlight w:val="none"/>
        </w:rPr>
        <w:fldChar w:fldCharType="begin"/>
      </w:r>
      <w:r>
        <w:rPr>
          <w:highlight w:val="none"/>
        </w:rPr>
        <w:instrText xml:space="preserve"> PAGEREF _Toc10299 </w:instrText>
      </w:r>
      <w:r>
        <w:rPr>
          <w:highlight w:val="none"/>
        </w:rPr>
        <w:fldChar w:fldCharType="separate"/>
      </w:r>
      <w:r>
        <w:rPr>
          <w:highlight w:val="none"/>
        </w:rPr>
        <w:t>- 7 -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"_Toc1202" </w:instrText>
      </w:r>
      <w:r>
        <w:rPr>
          <w:highlight w:val="none"/>
        </w:rPr>
        <w:fldChar w:fldCharType="separate"/>
      </w:r>
      <w:r>
        <w:rPr>
          <w:rFonts w:hint="eastAsia" w:ascii="宋体" w:hAnsi="宋体"/>
          <w:highlight w:val="none"/>
        </w:rPr>
        <w:t>4.9 评标</w:t>
      </w:r>
      <w:r>
        <w:rPr>
          <w:highlight w:val="none"/>
        </w:rPr>
        <w:tab/>
      </w:r>
      <w:r>
        <w:rPr>
          <w:highlight w:val="none"/>
        </w:rPr>
        <w:fldChar w:fldCharType="begin"/>
      </w:r>
      <w:r>
        <w:rPr>
          <w:highlight w:val="none"/>
        </w:rPr>
        <w:instrText xml:space="preserve"> PAGEREF _Toc1202 </w:instrText>
      </w:r>
      <w:r>
        <w:rPr>
          <w:highlight w:val="none"/>
        </w:rPr>
        <w:fldChar w:fldCharType="separate"/>
      </w:r>
      <w:r>
        <w:rPr>
          <w:highlight w:val="none"/>
        </w:rPr>
        <w:t>- 7 -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"_Toc22374" </w:instrText>
      </w:r>
      <w:r>
        <w:rPr>
          <w:highlight w:val="none"/>
        </w:rPr>
        <w:fldChar w:fldCharType="separate"/>
      </w:r>
      <w:r>
        <w:rPr>
          <w:rFonts w:hint="eastAsia" w:ascii="宋体" w:hAnsi="宋体"/>
          <w:highlight w:val="none"/>
        </w:rPr>
        <w:t>4.10 评标结果公示</w:t>
      </w:r>
      <w:r>
        <w:rPr>
          <w:highlight w:val="none"/>
        </w:rPr>
        <w:tab/>
      </w:r>
      <w:r>
        <w:rPr>
          <w:highlight w:val="none"/>
        </w:rPr>
        <w:fldChar w:fldCharType="begin"/>
      </w:r>
      <w:r>
        <w:rPr>
          <w:highlight w:val="none"/>
        </w:rPr>
        <w:instrText xml:space="preserve"> PAGEREF _Toc22374 </w:instrText>
      </w:r>
      <w:r>
        <w:rPr>
          <w:highlight w:val="none"/>
        </w:rPr>
        <w:fldChar w:fldCharType="separate"/>
      </w:r>
      <w:r>
        <w:rPr>
          <w:highlight w:val="none"/>
        </w:rPr>
        <w:t>- 8 -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"_Toc5811" </w:instrText>
      </w:r>
      <w:r>
        <w:rPr>
          <w:highlight w:val="none"/>
        </w:rPr>
        <w:fldChar w:fldCharType="separate"/>
      </w:r>
      <w:r>
        <w:rPr>
          <w:rFonts w:hint="eastAsia" w:ascii="宋体" w:hAnsi="宋体"/>
          <w:highlight w:val="none"/>
        </w:rPr>
        <w:t>4.11 中标通知书</w:t>
      </w:r>
      <w:r>
        <w:rPr>
          <w:highlight w:val="none"/>
        </w:rPr>
        <w:tab/>
      </w:r>
      <w:r>
        <w:rPr>
          <w:highlight w:val="none"/>
        </w:rPr>
        <w:fldChar w:fldCharType="begin"/>
      </w:r>
      <w:r>
        <w:rPr>
          <w:highlight w:val="none"/>
        </w:rPr>
        <w:instrText xml:space="preserve"> PAGEREF _Toc5811 </w:instrText>
      </w:r>
      <w:r>
        <w:rPr>
          <w:highlight w:val="none"/>
        </w:rPr>
        <w:fldChar w:fldCharType="separate"/>
      </w:r>
      <w:r>
        <w:rPr>
          <w:highlight w:val="none"/>
        </w:rPr>
        <w:t>- 8 -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"_Toc9092" </w:instrText>
      </w:r>
      <w:r>
        <w:rPr>
          <w:highlight w:val="none"/>
        </w:rPr>
        <w:fldChar w:fldCharType="separate"/>
      </w:r>
      <w:r>
        <w:rPr>
          <w:rFonts w:hint="eastAsia" w:ascii="宋体" w:hAnsi="宋体"/>
          <w:highlight w:val="none"/>
        </w:rPr>
        <w:t>4.12 签订合同</w:t>
      </w:r>
      <w:r>
        <w:rPr>
          <w:highlight w:val="none"/>
        </w:rPr>
        <w:tab/>
      </w:r>
      <w:r>
        <w:rPr>
          <w:highlight w:val="none"/>
        </w:rPr>
        <w:fldChar w:fldCharType="begin"/>
      </w:r>
      <w:r>
        <w:rPr>
          <w:highlight w:val="none"/>
        </w:rPr>
        <w:instrText xml:space="preserve"> PAGEREF _Toc9092 </w:instrText>
      </w:r>
      <w:r>
        <w:rPr>
          <w:highlight w:val="none"/>
        </w:rPr>
        <w:fldChar w:fldCharType="separate"/>
      </w:r>
      <w:r>
        <w:rPr>
          <w:highlight w:val="none"/>
        </w:rPr>
        <w:t>- 8 -</w:t>
      </w:r>
      <w:r>
        <w:rPr>
          <w:highlight w:val="none"/>
        </w:rPr>
        <w:fldChar w:fldCharType="end"/>
      </w:r>
      <w:r>
        <w:rPr>
          <w:highlight w:val="none"/>
        </w:rPr>
        <w:fldChar w:fldCharType="end"/>
      </w:r>
    </w:p>
    <w:p>
      <w:pPr>
        <w:pStyle w:val="25"/>
        <w:tabs>
          <w:tab w:val="right" w:leader="dot" w:pos="9049"/>
        </w:tabs>
        <w:rPr>
          <w:highlight w:val="none"/>
        </w:rPr>
      </w:pPr>
      <w:r>
        <w:rPr>
          <w:highlight w:val="none"/>
        </w:rPr>
        <w:fldChar w:fldCharType="begin"/>
      </w:r>
      <w:r>
        <w:rPr>
          <w:highlight w:val="none"/>
        </w:rPr>
        <w:instrText xml:space="preserve"> HYPERLINK \l "_Toc2580" </w:instrText>
      </w:r>
      <w:r>
        <w:rPr>
          <w:highlight w:val="none"/>
        </w:rPr>
        <w:fldChar w:fldCharType="separate"/>
      </w:r>
      <w:r>
        <w:rPr>
          <w:rFonts w:hint="eastAsia" w:ascii="宋体" w:hAnsi="宋体"/>
          <w:highlight w:val="none"/>
        </w:rPr>
        <w:t>5 项目技术要求</w:t>
      </w:r>
      <w:r>
        <w:rPr>
          <w:highlight w:val="none"/>
        </w:rPr>
        <w:tab/>
      </w:r>
      <w:r>
        <w:rPr>
          <w:highlight w:val="none"/>
        </w:rPr>
        <w:fldChar w:fldCharType="begin"/>
      </w:r>
      <w:r>
        <w:rPr>
          <w:highlight w:val="none"/>
        </w:rPr>
        <w:instrText xml:space="preserve"> PAGEREF _Toc2580 </w:instrText>
      </w:r>
      <w:r>
        <w:rPr>
          <w:highlight w:val="none"/>
        </w:rPr>
        <w:fldChar w:fldCharType="separate"/>
      </w:r>
      <w:r>
        <w:rPr>
          <w:highlight w:val="none"/>
        </w:rPr>
        <w:t>- 10 -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"_Toc10187" </w:instrText>
      </w:r>
      <w:r>
        <w:rPr>
          <w:highlight w:val="none"/>
        </w:rPr>
        <w:fldChar w:fldCharType="separate"/>
      </w:r>
      <w:r>
        <w:rPr>
          <w:rFonts w:hint="eastAsia" w:ascii="宋体" w:hAnsi="宋体"/>
          <w:highlight w:val="none"/>
        </w:rPr>
        <w:t>5.1 项目技术要求</w:t>
      </w:r>
      <w:r>
        <w:rPr>
          <w:highlight w:val="none"/>
        </w:rPr>
        <w:tab/>
      </w:r>
      <w:r>
        <w:rPr>
          <w:highlight w:val="none"/>
        </w:rPr>
        <w:fldChar w:fldCharType="begin"/>
      </w:r>
      <w:r>
        <w:rPr>
          <w:highlight w:val="none"/>
        </w:rPr>
        <w:instrText xml:space="preserve"> PAGEREF _Toc10187 </w:instrText>
      </w:r>
      <w:r>
        <w:rPr>
          <w:highlight w:val="none"/>
        </w:rPr>
        <w:fldChar w:fldCharType="separate"/>
      </w:r>
      <w:r>
        <w:rPr>
          <w:highlight w:val="none"/>
        </w:rPr>
        <w:t>- 10 -</w:t>
      </w:r>
      <w:r>
        <w:rPr>
          <w:highlight w:val="none"/>
        </w:rPr>
        <w:fldChar w:fldCharType="end"/>
      </w:r>
      <w:r>
        <w:rPr>
          <w:highlight w:val="none"/>
        </w:rPr>
        <w:fldChar w:fldCharType="end"/>
      </w:r>
    </w:p>
    <w:p>
      <w:pPr>
        <w:pStyle w:val="25"/>
        <w:tabs>
          <w:tab w:val="right" w:leader="dot" w:pos="9049"/>
        </w:tabs>
        <w:rPr>
          <w:highlight w:val="none"/>
        </w:rPr>
      </w:pPr>
      <w:r>
        <w:rPr>
          <w:highlight w:val="none"/>
        </w:rPr>
        <w:fldChar w:fldCharType="begin"/>
      </w:r>
      <w:r>
        <w:rPr>
          <w:highlight w:val="none"/>
        </w:rPr>
        <w:instrText xml:space="preserve"> HYPERLINK \l "_Toc12578" </w:instrText>
      </w:r>
      <w:r>
        <w:rPr>
          <w:highlight w:val="none"/>
        </w:rPr>
        <w:fldChar w:fldCharType="separate"/>
      </w:r>
      <w:r>
        <w:rPr>
          <w:rFonts w:hint="eastAsia" w:ascii="宋体" w:hAnsi="宋体"/>
          <w:highlight w:val="none"/>
        </w:rPr>
        <w:t>6 项目商务要求</w:t>
      </w:r>
      <w:r>
        <w:rPr>
          <w:highlight w:val="none"/>
        </w:rPr>
        <w:tab/>
      </w:r>
      <w:r>
        <w:rPr>
          <w:highlight w:val="none"/>
        </w:rPr>
        <w:fldChar w:fldCharType="begin"/>
      </w:r>
      <w:r>
        <w:rPr>
          <w:highlight w:val="none"/>
        </w:rPr>
        <w:instrText xml:space="preserve"> PAGEREF _Toc12578 </w:instrText>
      </w:r>
      <w:r>
        <w:rPr>
          <w:highlight w:val="none"/>
        </w:rPr>
        <w:fldChar w:fldCharType="separate"/>
      </w:r>
      <w:r>
        <w:rPr>
          <w:highlight w:val="none"/>
        </w:rPr>
        <w:t>- 1</w:t>
      </w:r>
      <w:r>
        <w:rPr>
          <w:rFonts w:hint="eastAsia"/>
          <w:highlight w:val="none"/>
          <w:lang w:val="en-US" w:eastAsia="zh-CN"/>
        </w:rPr>
        <w:t>2</w:t>
      </w:r>
      <w:r>
        <w:rPr>
          <w:highlight w:val="none"/>
        </w:rPr>
        <w:t xml:space="preserve">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"_Toc10642" </w:instrText>
      </w:r>
      <w:r>
        <w:rPr>
          <w:highlight w:val="none"/>
        </w:rPr>
        <w:fldChar w:fldCharType="separate"/>
      </w:r>
      <w:r>
        <w:rPr>
          <w:rFonts w:hint="eastAsia" w:ascii="宋体" w:hAnsi="宋体"/>
          <w:highlight w:val="none"/>
        </w:rPr>
        <w:t>6.1 项目实施计划列表</w:t>
      </w:r>
      <w:r>
        <w:rPr>
          <w:highlight w:val="none"/>
        </w:rPr>
        <w:tab/>
      </w:r>
      <w:r>
        <w:rPr>
          <w:highlight w:val="none"/>
        </w:rPr>
        <w:fldChar w:fldCharType="begin"/>
      </w:r>
      <w:r>
        <w:rPr>
          <w:highlight w:val="none"/>
        </w:rPr>
        <w:instrText xml:space="preserve"> PAGEREF _Toc10642 </w:instrText>
      </w:r>
      <w:r>
        <w:rPr>
          <w:highlight w:val="none"/>
        </w:rPr>
        <w:fldChar w:fldCharType="separate"/>
      </w:r>
      <w:r>
        <w:rPr>
          <w:highlight w:val="none"/>
        </w:rPr>
        <w:t>- 1</w:t>
      </w:r>
      <w:r>
        <w:rPr>
          <w:rFonts w:hint="eastAsia"/>
          <w:highlight w:val="none"/>
          <w:lang w:val="en-US" w:eastAsia="zh-CN"/>
        </w:rPr>
        <w:t>2</w:t>
      </w:r>
      <w:r>
        <w:rPr>
          <w:highlight w:val="none"/>
        </w:rPr>
        <w:t xml:space="preserve"> -</w:t>
      </w:r>
      <w:r>
        <w:rPr>
          <w:highlight w:val="none"/>
        </w:rPr>
        <w:fldChar w:fldCharType="end"/>
      </w:r>
      <w:r>
        <w:rPr>
          <w:highlight w:val="none"/>
        </w:rPr>
        <w:fldChar w:fldCharType="end"/>
      </w:r>
    </w:p>
    <w:p>
      <w:pPr>
        <w:pStyle w:val="29"/>
        <w:tabs>
          <w:tab w:val="right" w:leader="dot" w:pos="9049"/>
        </w:tabs>
        <w:rPr>
          <w:highlight w:val="none"/>
        </w:rPr>
      </w:pPr>
      <w:r>
        <w:rPr>
          <w:highlight w:val="none"/>
        </w:rPr>
        <w:fldChar w:fldCharType="begin"/>
      </w:r>
      <w:r>
        <w:rPr>
          <w:highlight w:val="none"/>
        </w:rPr>
        <w:instrText xml:space="preserve"> HYPERLINK \l "_Toc3859" </w:instrText>
      </w:r>
      <w:r>
        <w:rPr>
          <w:highlight w:val="none"/>
        </w:rPr>
        <w:fldChar w:fldCharType="separate"/>
      </w:r>
      <w:r>
        <w:rPr>
          <w:rFonts w:hint="eastAsia" w:ascii="宋体" w:hAnsi="宋体"/>
          <w:highlight w:val="none"/>
        </w:rPr>
        <w:t>6.2 其他</w:t>
      </w:r>
      <w:r>
        <w:rPr>
          <w:highlight w:val="none"/>
        </w:rPr>
        <w:tab/>
      </w:r>
      <w:r>
        <w:rPr>
          <w:highlight w:val="none"/>
        </w:rPr>
        <w:fldChar w:fldCharType="begin"/>
      </w:r>
      <w:r>
        <w:rPr>
          <w:highlight w:val="none"/>
        </w:rPr>
        <w:instrText xml:space="preserve"> PAGEREF _Toc3859 </w:instrText>
      </w:r>
      <w:r>
        <w:rPr>
          <w:highlight w:val="none"/>
        </w:rPr>
        <w:fldChar w:fldCharType="separate"/>
      </w:r>
      <w:r>
        <w:rPr>
          <w:highlight w:val="none"/>
        </w:rPr>
        <w:t>- 1</w:t>
      </w:r>
      <w:r>
        <w:rPr>
          <w:rFonts w:hint="eastAsia"/>
          <w:highlight w:val="none"/>
          <w:lang w:val="en-US" w:eastAsia="zh-CN"/>
        </w:rPr>
        <w:t>2</w:t>
      </w:r>
      <w:r>
        <w:rPr>
          <w:highlight w:val="none"/>
        </w:rPr>
        <w:t xml:space="preserve"> -</w:t>
      </w:r>
      <w:r>
        <w:rPr>
          <w:highlight w:val="none"/>
        </w:rPr>
        <w:fldChar w:fldCharType="end"/>
      </w:r>
      <w:r>
        <w:rPr>
          <w:highlight w:val="none"/>
        </w:rPr>
        <w:fldChar w:fldCharType="end"/>
      </w:r>
    </w:p>
    <w:p>
      <w:pPr>
        <w:pStyle w:val="25"/>
        <w:tabs>
          <w:tab w:val="right" w:leader="dot" w:pos="9049"/>
        </w:tabs>
        <w:rPr>
          <w:highlight w:val="none"/>
        </w:rPr>
      </w:pPr>
      <w:r>
        <w:rPr>
          <w:highlight w:val="none"/>
        </w:rPr>
        <w:fldChar w:fldCharType="begin"/>
      </w:r>
      <w:r>
        <w:rPr>
          <w:highlight w:val="none"/>
        </w:rPr>
        <w:instrText xml:space="preserve"> HYPERLINK \l "_Toc3473" </w:instrText>
      </w:r>
      <w:r>
        <w:rPr>
          <w:highlight w:val="none"/>
        </w:rPr>
        <w:fldChar w:fldCharType="separate"/>
      </w:r>
      <w:r>
        <w:rPr>
          <w:rFonts w:hint="eastAsia" w:ascii="宋体" w:hAnsi="宋体"/>
          <w:highlight w:val="none"/>
        </w:rPr>
        <w:t>7 评审标准</w:t>
      </w:r>
      <w:r>
        <w:rPr>
          <w:highlight w:val="none"/>
        </w:rPr>
        <w:tab/>
      </w:r>
      <w:r>
        <w:rPr>
          <w:highlight w:val="none"/>
        </w:rPr>
        <w:fldChar w:fldCharType="begin"/>
      </w:r>
      <w:r>
        <w:rPr>
          <w:highlight w:val="none"/>
        </w:rPr>
        <w:instrText xml:space="preserve"> PAGEREF _Toc3473 </w:instrText>
      </w:r>
      <w:r>
        <w:rPr>
          <w:highlight w:val="none"/>
        </w:rPr>
        <w:fldChar w:fldCharType="separate"/>
      </w:r>
      <w:r>
        <w:rPr>
          <w:highlight w:val="none"/>
        </w:rPr>
        <w:t>- 1</w:t>
      </w:r>
      <w:r>
        <w:rPr>
          <w:rFonts w:hint="eastAsia"/>
          <w:highlight w:val="none"/>
          <w:lang w:val="en-US" w:eastAsia="zh-CN"/>
        </w:rPr>
        <w:t>3</w:t>
      </w:r>
      <w:r>
        <w:rPr>
          <w:highlight w:val="none"/>
        </w:rPr>
        <w:t xml:space="preserve"> -</w:t>
      </w:r>
      <w:r>
        <w:rPr>
          <w:highlight w:val="none"/>
        </w:rPr>
        <w:fldChar w:fldCharType="end"/>
      </w:r>
      <w:r>
        <w:rPr>
          <w:highlight w:val="none"/>
        </w:rPr>
        <w:fldChar w:fldCharType="end"/>
      </w:r>
    </w:p>
    <w:p>
      <w:pPr>
        <w:pStyle w:val="25"/>
        <w:tabs>
          <w:tab w:val="right" w:leader="dot" w:pos="9049"/>
        </w:tabs>
        <w:rPr>
          <w:highlight w:val="none"/>
        </w:rPr>
      </w:pPr>
      <w:r>
        <w:rPr>
          <w:highlight w:val="none"/>
        </w:rPr>
        <w:fldChar w:fldCharType="begin"/>
      </w:r>
      <w:r>
        <w:rPr>
          <w:highlight w:val="none"/>
        </w:rPr>
        <w:instrText xml:space="preserve"> HYPERLINK \l "_Toc29384" </w:instrText>
      </w:r>
      <w:r>
        <w:rPr>
          <w:highlight w:val="none"/>
        </w:rPr>
        <w:fldChar w:fldCharType="separate"/>
      </w:r>
      <w:r>
        <w:rPr>
          <w:rFonts w:hint="eastAsia" w:ascii="宋体" w:hAnsi="宋体"/>
          <w:highlight w:val="none"/>
        </w:rPr>
        <w:t>8 拟签订合同文本</w:t>
      </w:r>
      <w:r>
        <w:rPr>
          <w:highlight w:val="none"/>
        </w:rPr>
        <w:tab/>
      </w:r>
      <w:r>
        <w:rPr>
          <w:highlight w:val="none"/>
        </w:rPr>
        <w:fldChar w:fldCharType="begin"/>
      </w:r>
      <w:r>
        <w:rPr>
          <w:highlight w:val="none"/>
        </w:rPr>
        <w:instrText xml:space="preserve"> PAGEREF _Toc29384 </w:instrText>
      </w:r>
      <w:r>
        <w:rPr>
          <w:highlight w:val="none"/>
        </w:rPr>
        <w:fldChar w:fldCharType="separate"/>
      </w:r>
      <w:r>
        <w:rPr>
          <w:highlight w:val="none"/>
        </w:rPr>
        <w:t>- 1</w:t>
      </w:r>
      <w:r>
        <w:rPr>
          <w:rFonts w:hint="eastAsia"/>
          <w:highlight w:val="none"/>
          <w:lang w:val="en-US" w:eastAsia="zh-CN"/>
        </w:rPr>
        <w:t>4</w:t>
      </w:r>
      <w:r>
        <w:rPr>
          <w:highlight w:val="none"/>
        </w:rPr>
        <w:t xml:space="preserve"> -</w:t>
      </w:r>
      <w:r>
        <w:rPr>
          <w:highlight w:val="none"/>
        </w:rPr>
        <w:fldChar w:fldCharType="end"/>
      </w:r>
      <w:r>
        <w:rPr>
          <w:highlight w:val="none"/>
        </w:rPr>
        <w:fldChar w:fldCharType="end"/>
      </w:r>
    </w:p>
    <w:p>
      <w:pPr>
        <w:pStyle w:val="25"/>
        <w:tabs>
          <w:tab w:val="right" w:leader="dot" w:pos="9049"/>
        </w:tabs>
        <w:rPr>
          <w:highlight w:val="none"/>
        </w:rPr>
      </w:pPr>
      <w:r>
        <w:rPr>
          <w:highlight w:val="none"/>
        </w:rPr>
        <w:fldChar w:fldCharType="begin"/>
      </w:r>
      <w:r>
        <w:rPr>
          <w:highlight w:val="none"/>
        </w:rPr>
        <w:instrText xml:space="preserve"> HYPERLINK \l "_Toc6145" </w:instrText>
      </w:r>
      <w:r>
        <w:rPr>
          <w:highlight w:val="none"/>
        </w:rPr>
        <w:fldChar w:fldCharType="separate"/>
      </w:r>
      <w:r>
        <w:rPr>
          <w:rFonts w:hint="eastAsia" w:ascii="宋体" w:hAnsi="宋体"/>
          <w:highlight w:val="none"/>
        </w:rPr>
        <w:t>9 附录</w:t>
      </w:r>
      <w:r>
        <w:rPr>
          <w:highlight w:val="none"/>
        </w:rPr>
        <w:tab/>
      </w:r>
      <w:r>
        <w:rPr>
          <w:highlight w:val="none"/>
        </w:rPr>
        <w:fldChar w:fldCharType="begin"/>
      </w:r>
      <w:r>
        <w:rPr>
          <w:highlight w:val="none"/>
        </w:rPr>
        <w:instrText xml:space="preserve"> PAGEREF _Toc6145 </w:instrText>
      </w:r>
      <w:r>
        <w:rPr>
          <w:highlight w:val="none"/>
        </w:rPr>
        <w:fldChar w:fldCharType="separate"/>
      </w:r>
      <w:r>
        <w:rPr>
          <w:highlight w:val="none"/>
        </w:rPr>
        <w:t>- 1</w:t>
      </w:r>
      <w:r>
        <w:rPr>
          <w:rFonts w:hint="eastAsia"/>
          <w:highlight w:val="none"/>
          <w:lang w:val="en-US" w:eastAsia="zh-CN"/>
        </w:rPr>
        <w:t>7</w:t>
      </w:r>
      <w:r>
        <w:rPr>
          <w:highlight w:val="none"/>
        </w:rPr>
        <w:t xml:space="preserve"> -</w:t>
      </w:r>
      <w:r>
        <w:rPr>
          <w:highlight w:val="none"/>
        </w:rPr>
        <w:fldChar w:fldCharType="end"/>
      </w:r>
      <w:r>
        <w:rPr>
          <w:highlight w:val="none"/>
        </w:rPr>
        <w:fldChar w:fldCharType="end"/>
      </w:r>
    </w:p>
    <w:p>
      <w:pPr>
        <w:pStyle w:val="39"/>
        <w:ind w:firstLine="480"/>
        <w:rPr>
          <w:rFonts w:ascii="宋体" w:hAnsi="宋体"/>
          <w:highlight w:val="none"/>
        </w:rPr>
        <w:sectPr>
          <w:footerReference r:id="rId5" w:type="first"/>
          <w:headerReference r:id="rId3" w:type="default"/>
          <w:footerReference r:id="rId4" w:type="default"/>
          <w:pgSz w:w="12242" w:h="15842"/>
          <w:pgMar w:top="1418" w:right="1418" w:bottom="1418" w:left="1418" w:header="737" w:footer="431" w:gutter="357"/>
          <w:pgNumType w:start="1" w:chapStyle="1"/>
          <w:cols w:space="720" w:num="1"/>
          <w:titlePg/>
          <w:docGrid w:type="lines" w:linePitch="312" w:charSpace="0"/>
        </w:sectPr>
      </w:pPr>
      <w:r>
        <w:rPr>
          <w:rFonts w:ascii="宋体" w:hAnsi="宋体"/>
          <w:highlight w:val="none"/>
        </w:rPr>
        <w:fldChar w:fldCharType="end"/>
      </w:r>
    </w:p>
    <w:p>
      <w:pPr>
        <w:pStyle w:val="38"/>
        <w:rPr>
          <w:rFonts w:ascii="宋体" w:hAnsi="宋体"/>
          <w:highlight w:val="none"/>
        </w:rPr>
      </w:pPr>
      <w:bookmarkStart w:id="3" w:name="_Toc270497412"/>
      <w:bookmarkStart w:id="4" w:name="_Toc24504"/>
      <w:r>
        <w:rPr>
          <w:rFonts w:hint="eastAsia" w:ascii="宋体" w:hAnsi="宋体"/>
          <w:highlight w:val="none"/>
        </w:rPr>
        <w:t>投标</w:t>
      </w:r>
      <w:bookmarkEnd w:id="3"/>
      <w:bookmarkEnd w:id="4"/>
      <w:r>
        <w:rPr>
          <w:rFonts w:hint="eastAsia" w:ascii="宋体" w:hAnsi="宋体"/>
          <w:highlight w:val="none"/>
        </w:rPr>
        <w:t>公告</w:t>
      </w:r>
    </w:p>
    <w:p>
      <w:pPr>
        <w:pStyle w:val="39"/>
        <w:ind w:firstLine="480"/>
        <w:rPr>
          <w:rFonts w:ascii="宋体" w:hAnsi="宋体"/>
          <w:color w:val="000000"/>
          <w:highlight w:val="none"/>
        </w:rPr>
      </w:pPr>
      <w:r>
        <w:rPr>
          <w:rFonts w:hint="eastAsia" w:ascii="宋体" w:hAnsi="宋体"/>
          <w:color w:val="000000"/>
          <w:highlight w:val="none"/>
        </w:rPr>
        <w:t>北京华信医院（以下简称招标人）就“</w:t>
      </w:r>
      <w:r>
        <w:rPr>
          <w:rFonts w:hint="eastAsia" w:ascii="宋体" w:hAnsi="宋体"/>
          <w:highlight w:val="none"/>
        </w:rPr>
        <w:t>薪传六十年，奋进新甲子</w:t>
      </w:r>
      <w:r>
        <w:rPr>
          <w:rFonts w:hint="eastAsia" w:ascii="宋体" w:hAnsi="宋体"/>
          <w:color w:val="000000"/>
          <w:highlight w:val="none"/>
        </w:rPr>
        <w:t>”北京华信医院建院60周年院庆活动进行招标。具体说明如下：</w:t>
      </w:r>
    </w:p>
    <w:p>
      <w:pPr>
        <w:pStyle w:val="39"/>
        <w:ind w:firstLine="480"/>
        <w:rPr>
          <w:rFonts w:ascii="宋体" w:hAnsi="宋体"/>
          <w:color w:val="000000"/>
          <w:highlight w:val="none"/>
        </w:rPr>
      </w:pPr>
      <w:r>
        <w:rPr>
          <w:rFonts w:hint="eastAsia" w:ascii="宋体" w:hAnsi="宋体"/>
          <w:color w:val="000000"/>
          <w:highlight w:val="none"/>
        </w:rPr>
        <w:t>1．项目名称：北京华信医院建院60周年院庆活动整体方案</w:t>
      </w:r>
    </w:p>
    <w:p>
      <w:pPr>
        <w:pStyle w:val="39"/>
        <w:ind w:firstLine="480"/>
        <w:rPr>
          <w:rFonts w:ascii="宋体" w:hAnsi="宋体"/>
          <w:color w:val="000000"/>
          <w:highlight w:val="none"/>
        </w:rPr>
      </w:pPr>
      <w:r>
        <w:rPr>
          <w:rFonts w:hint="eastAsia" w:ascii="宋体" w:hAnsi="宋体"/>
          <w:color w:val="000000"/>
          <w:highlight w:val="none"/>
        </w:rPr>
        <w:t>2. 招标编号：</w:t>
      </w:r>
      <w:r>
        <w:rPr>
          <w:rFonts w:hint="eastAsia" w:ascii="宋体" w:hAnsi="宋体"/>
          <w:sz w:val="24"/>
          <w:highlight w:val="none"/>
        </w:rPr>
        <w:t>附一院党政招[201</w:t>
      </w:r>
      <w:r>
        <w:rPr>
          <w:rFonts w:hint="eastAsia" w:ascii="宋体" w:hAnsi="宋体"/>
          <w:sz w:val="24"/>
          <w:highlight w:val="none"/>
          <w:lang w:val="en-US" w:eastAsia="zh-CN"/>
        </w:rPr>
        <w:t>9</w:t>
      </w:r>
      <w:r>
        <w:rPr>
          <w:rFonts w:hint="eastAsia" w:ascii="宋体" w:hAnsi="宋体"/>
          <w:sz w:val="24"/>
          <w:highlight w:val="none"/>
        </w:rPr>
        <w:t>]</w:t>
      </w:r>
      <w:r>
        <w:rPr>
          <w:rFonts w:ascii="宋体" w:hAnsi="宋体"/>
          <w:sz w:val="24"/>
          <w:highlight w:val="none"/>
        </w:rPr>
        <w:t>1</w:t>
      </w:r>
      <w:r>
        <w:rPr>
          <w:rFonts w:hint="eastAsia" w:ascii="宋体" w:hAnsi="宋体"/>
          <w:sz w:val="24"/>
          <w:highlight w:val="none"/>
        </w:rPr>
        <w:t>号</w:t>
      </w:r>
    </w:p>
    <w:p>
      <w:pPr>
        <w:pStyle w:val="39"/>
        <w:ind w:firstLine="480"/>
        <w:rPr>
          <w:rFonts w:ascii="宋体" w:hAnsi="宋体"/>
          <w:color w:val="000000"/>
          <w:highlight w:val="none"/>
        </w:rPr>
      </w:pPr>
      <w:r>
        <w:rPr>
          <w:rFonts w:hint="eastAsia" w:ascii="宋体" w:hAnsi="宋体"/>
          <w:color w:val="000000"/>
          <w:highlight w:val="none"/>
        </w:rPr>
        <w:t>3. 项目背景：</w:t>
      </w:r>
    </w:p>
    <w:p>
      <w:pPr>
        <w:spacing w:line="360" w:lineRule="auto"/>
        <w:ind w:firstLine="480" w:firstLineChars="200"/>
        <w:rPr>
          <w:rFonts w:ascii="宋体" w:hAnsi="宋体"/>
          <w:sz w:val="24"/>
          <w:highlight w:val="none"/>
        </w:rPr>
      </w:pPr>
      <w:r>
        <w:rPr>
          <w:rFonts w:hint="eastAsia" w:ascii="宋体" w:hAnsi="宋体"/>
          <w:sz w:val="24"/>
          <w:highlight w:val="none"/>
        </w:rPr>
        <w:t xml:space="preserve">2019年是医院建院60周年。60年来，在上级单位的领导与支持下，经过几代华信人的共同努力，医院在医疗、教学、科研、管理等方面都取得了很大成绩。举办院庆活动，对回顾历史、展示成果、树立形象、凝聚人心、促进医院发展，具有十分重要的意义。  </w:t>
      </w:r>
    </w:p>
    <w:p>
      <w:pPr>
        <w:pStyle w:val="39"/>
        <w:numPr>
          <w:ilvl w:val="0"/>
          <w:numId w:val="5"/>
        </w:numPr>
        <w:tabs>
          <w:tab w:val="left" w:pos="312"/>
        </w:tabs>
        <w:ind w:firstLine="480"/>
        <w:rPr>
          <w:rFonts w:ascii="宋体" w:hAnsi="宋体"/>
          <w:color w:val="000000"/>
          <w:highlight w:val="none"/>
        </w:rPr>
      </w:pPr>
      <w:r>
        <w:rPr>
          <w:rFonts w:hint="eastAsia" w:ascii="宋体" w:hAnsi="宋体"/>
          <w:color w:val="000000"/>
          <w:highlight w:val="none"/>
        </w:rPr>
        <w:t>指导思想：</w:t>
      </w:r>
    </w:p>
    <w:p>
      <w:pPr>
        <w:spacing w:line="360" w:lineRule="auto"/>
        <w:ind w:firstLine="480" w:firstLineChars="200"/>
        <w:rPr>
          <w:rFonts w:ascii="宋体" w:hAnsi="宋体"/>
          <w:sz w:val="24"/>
          <w:highlight w:val="none"/>
        </w:rPr>
      </w:pPr>
      <w:r>
        <w:rPr>
          <w:rFonts w:hint="eastAsia" w:ascii="宋体" w:hAnsi="宋体"/>
          <w:sz w:val="24"/>
          <w:highlight w:val="none"/>
        </w:rPr>
        <w:t>医院坚持节俭、隆重、热烈的原则，突出教育性、学术性，将60周年院庆作为“不忘初心、牢记使命”的一个重要教育载体，通过系列庆祝活动，回顾医院走过的60年不平凡历程，充分展示医院医教研管等方面取得的丰硕成果，总结办院经验，传承优良传统，增强职工的自豪感和使命感，坚定信心，凝聚力量，进一步推进医院更好更快发展，为实现创建高水平附属医院奋斗目标增添动力。</w:t>
      </w:r>
    </w:p>
    <w:p>
      <w:pPr>
        <w:pStyle w:val="39"/>
        <w:numPr>
          <w:ilvl w:val="0"/>
          <w:numId w:val="5"/>
        </w:numPr>
        <w:tabs>
          <w:tab w:val="left" w:pos="312"/>
        </w:tabs>
        <w:ind w:firstLine="480"/>
        <w:rPr>
          <w:rFonts w:ascii="宋体" w:hAnsi="宋体"/>
          <w:color w:val="000000"/>
          <w:highlight w:val="none"/>
        </w:rPr>
      </w:pPr>
      <w:r>
        <w:rPr>
          <w:rFonts w:hint="eastAsia" w:ascii="宋体" w:hAnsi="宋体"/>
          <w:color w:val="000000"/>
          <w:highlight w:val="none"/>
        </w:rPr>
        <w:t>院庆主题：</w:t>
      </w:r>
      <w:r>
        <w:rPr>
          <w:rFonts w:hint="eastAsia" w:ascii="宋体" w:hAnsi="宋体"/>
          <w:highlight w:val="none"/>
        </w:rPr>
        <w:t>薪传六十年，奋进新甲子</w:t>
      </w:r>
    </w:p>
    <w:p>
      <w:pPr>
        <w:pStyle w:val="39"/>
        <w:numPr>
          <w:ilvl w:val="0"/>
          <w:numId w:val="5"/>
        </w:numPr>
        <w:tabs>
          <w:tab w:val="left" w:pos="312"/>
        </w:tabs>
        <w:ind w:firstLine="480"/>
        <w:rPr>
          <w:rFonts w:ascii="宋体" w:hAnsi="宋体"/>
          <w:color w:val="000000"/>
          <w:highlight w:val="none"/>
        </w:rPr>
      </w:pPr>
      <w:bookmarkStart w:id="5" w:name="_Toc270497414"/>
      <w:bookmarkStart w:id="6" w:name="_Toc1625"/>
      <w:r>
        <w:rPr>
          <w:rFonts w:hint="eastAsia" w:ascii="宋体" w:hAnsi="宋体"/>
          <w:color w:val="000000"/>
          <w:highlight w:val="none"/>
        </w:rPr>
        <w:t>投标、开标截止日期： 2019年</w:t>
      </w:r>
      <w:r>
        <w:rPr>
          <w:rFonts w:hint="eastAsia" w:ascii="宋体" w:hAnsi="宋体"/>
          <w:color w:val="000000"/>
          <w:highlight w:val="none"/>
          <w:lang w:val="en-US" w:eastAsia="zh-CN"/>
        </w:rPr>
        <w:t>7</w:t>
      </w:r>
      <w:r>
        <w:rPr>
          <w:rFonts w:hint="eastAsia" w:ascii="宋体" w:hAnsi="宋体"/>
          <w:color w:val="000000"/>
          <w:highlight w:val="none"/>
        </w:rPr>
        <w:t>月</w:t>
      </w:r>
      <w:r>
        <w:rPr>
          <w:rFonts w:hint="eastAsia" w:ascii="宋体" w:hAnsi="宋体"/>
          <w:color w:val="000000"/>
          <w:highlight w:val="none"/>
          <w:lang w:val="en-US" w:eastAsia="zh-CN"/>
        </w:rPr>
        <w:t>17</w:t>
      </w:r>
      <w:r>
        <w:rPr>
          <w:rFonts w:hint="eastAsia" w:ascii="宋体" w:hAnsi="宋体"/>
          <w:color w:val="000000"/>
          <w:highlight w:val="none"/>
        </w:rPr>
        <w:t>日（星期</w:t>
      </w:r>
      <w:r>
        <w:rPr>
          <w:rFonts w:hint="eastAsia" w:ascii="宋体" w:hAnsi="宋体"/>
          <w:color w:val="000000"/>
          <w:highlight w:val="none"/>
          <w:lang w:val="en-US" w:eastAsia="zh-CN"/>
        </w:rPr>
        <w:t>三</w:t>
      </w:r>
      <w:r>
        <w:rPr>
          <w:rFonts w:hint="eastAsia" w:ascii="宋体" w:hAnsi="宋体"/>
          <w:color w:val="000000"/>
          <w:highlight w:val="none"/>
        </w:rPr>
        <w:t>）1</w:t>
      </w:r>
      <w:r>
        <w:rPr>
          <w:rFonts w:hint="eastAsia" w:ascii="宋体" w:hAnsi="宋体"/>
          <w:color w:val="000000"/>
          <w:highlight w:val="none"/>
          <w:lang w:val="en-US" w:eastAsia="zh-CN"/>
        </w:rPr>
        <w:t>0</w:t>
      </w:r>
      <w:r>
        <w:rPr>
          <w:rFonts w:hint="eastAsia" w:ascii="宋体" w:hAnsi="宋体"/>
          <w:color w:val="000000"/>
          <w:highlight w:val="none"/>
        </w:rPr>
        <w:t>:</w:t>
      </w:r>
      <w:r>
        <w:rPr>
          <w:rFonts w:hint="eastAsia" w:ascii="宋体" w:hAnsi="宋体"/>
          <w:color w:val="000000"/>
          <w:highlight w:val="none"/>
          <w:lang w:val="en-US" w:eastAsia="zh-CN"/>
        </w:rPr>
        <w:t>0</w:t>
      </w:r>
      <w:r>
        <w:rPr>
          <w:rFonts w:hint="eastAsia" w:ascii="宋体" w:hAnsi="宋体"/>
          <w:color w:val="000000"/>
          <w:highlight w:val="none"/>
        </w:rPr>
        <w:t>0</w:t>
      </w:r>
    </w:p>
    <w:p>
      <w:pPr>
        <w:pStyle w:val="39"/>
        <w:numPr>
          <w:ilvl w:val="0"/>
          <w:numId w:val="5"/>
        </w:numPr>
        <w:tabs>
          <w:tab w:val="left" w:pos="312"/>
        </w:tabs>
        <w:ind w:firstLine="480"/>
        <w:rPr>
          <w:rFonts w:ascii="宋体" w:hAnsi="宋体"/>
          <w:color w:val="000000"/>
          <w:highlight w:val="none"/>
        </w:rPr>
      </w:pPr>
      <w:r>
        <w:rPr>
          <w:rFonts w:hint="eastAsia" w:ascii="宋体" w:hAnsi="宋体"/>
          <w:color w:val="000000"/>
          <w:highlight w:val="none"/>
        </w:rPr>
        <w:t>开标、评标地点： 北京华信医院第二会议室</w:t>
      </w:r>
    </w:p>
    <w:p>
      <w:pPr>
        <w:pStyle w:val="39"/>
        <w:ind w:firstLine="480"/>
        <w:rPr>
          <w:rFonts w:ascii="宋体" w:hAnsi="宋体"/>
          <w:color w:val="000000"/>
          <w:highlight w:val="none"/>
        </w:rPr>
      </w:pPr>
      <w:r>
        <w:rPr>
          <w:rFonts w:hint="eastAsia" w:ascii="宋体" w:hAnsi="宋体"/>
          <w:highlight w:val="none"/>
        </w:rPr>
        <w:t>9．联系人：</w:t>
      </w:r>
      <w:r>
        <w:rPr>
          <w:rFonts w:hint="eastAsia" w:ascii="宋体" w:hAnsi="宋体"/>
          <w:highlight w:val="none"/>
          <w:lang w:eastAsia="zh-CN"/>
        </w:rPr>
        <w:t>文镇宋</w:t>
      </w:r>
      <w:r>
        <w:rPr>
          <w:rFonts w:hint="eastAsia" w:ascii="宋体" w:hAnsi="宋体"/>
          <w:highlight w:val="none"/>
        </w:rPr>
        <w:t xml:space="preserve">  </w:t>
      </w:r>
      <w:r>
        <w:rPr>
          <w:rFonts w:hint="eastAsia" w:ascii="宋体" w:hAnsi="宋体"/>
          <w:color w:val="000000"/>
          <w:highlight w:val="none"/>
        </w:rPr>
        <w:t>联系方式：</w:t>
      </w:r>
      <w:r>
        <w:rPr>
          <w:rFonts w:hint="eastAsia" w:ascii="宋体" w:hAnsi="宋体"/>
          <w:color w:val="000000"/>
          <w:highlight w:val="none"/>
          <w:lang w:val="en-US" w:eastAsia="zh-CN"/>
        </w:rPr>
        <w:t>010-64308025</w:t>
      </w:r>
    </w:p>
    <w:p>
      <w:pPr>
        <w:pStyle w:val="39"/>
        <w:ind w:firstLine="850" w:firstLineChars="354"/>
        <w:rPr>
          <w:rFonts w:ascii="宋体" w:hAnsi="宋体"/>
          <w:color w:val="000000"/>
          <w:highlight w:val="none"/>
        </w:rPr>
      </w:pPr>
      <w:r>
        <w:rPr>
          <w:rFonts w:hint="eastAsia" w:ascii="宋体" w:hAnsi="宋体"/>
          <w:color w:val="000000"/>
          <w:highlight w:val="none"/>
        </w:rPr>
        <w:t>通讯地址：</w:t>
      </w:r>
      <w:r>
        <w:rPr>
          <w:rFonts w:hint="eastAsia" w:ascii="宋体" w:hAnsi="宋体"/>
          <w:highlight w:val="none"/>
        </w:rPr>
        <w:t>北京朝阳区酒仙桥一街坊6号</w:t>
      </w:r>
      <w:r>
        <w:rPr>
          <w:rFonts w:hint="eastAsia" w:ascii="宋体" w:hAnsi="宋体"/>
          <w:color w:val="000000"/>
          <w:highlight w:val="none"/>
        </w:rPr>
        <w:t xml:space="preserve"> </w:t>
      </w:r>
    </w:p>
    <w:p>
      <w:pPr>
        <w:pStyle w:val="39"/>
        <w:ind w:firstLine="850" w:firstLineChars="354"/>
        <w:rPr>
          <w:rFonts w:ascii="宋体" w:hAnsi="宋体"/>
          <w:color w:val="000000"/>
          <w:highlight w:val="none"/>
        </w:rPr>
      </w:pPr>
      <w:r>
        <w:rPr>
          <w:rFonts w:hint="eastAsia" w:ascii="宋体" w:hAnsi="宋体"/>
          <w:color w:val="000000"/>
          <w:highlight w:val="none"/>
        </w:rPr>
        <w:t>单位名称：北京华信医院</w:t>
      </w:r>
    </w:p>
    <w:p>
      <w:pPr>
        <w:pStyle w:val="39"/>
        <w:ind w:firstLine="850" w:firstLineChars="354"/>
        <w:rPr>
          <w:rFonts w:ascii="宋体" w:hAnsi="宋体"/>
          <w:color w:val="000000"/>
          <w:highlight w:val="none"/>
        </w:rPr>
      </w:pPr>
      <w:r>
        <w:rPr>
          <w:rFonts w:hint="eastAsia" w:ascii="宋体" w:hAnsi="宋体"/>
          <w:color w:val="000000"/>
          <w:highlight w:val="none"/>
        </w:rPr>
        <w:t>邮政编码：100016</w:t>
      </w:r>
    </w:p>
    <w:p>
      <w:pPr>
        <w:pStyle w:val="38"/>
        <w:rPr>
          <w:rFonts w:ascii="宋体" w:hAnsi="宋体"/>
          <w:highlight w:val="none"/>
        </w:rPr>
      </w:pPr>
      <w:r>
        <w:rPr>
          <w:rFonts w:hint="eastAsia" w:ascii="宋体" w:hAnsi="宋体"/>
          <w:highlight w:val="none"/>
        </w:rPr>
        <w:t>投标人须知</w:t>
      </w:r>
      <w:bookmarkEnd w:id="5"/>
      <w:bookmarkEnd w:id="6"/>
    </w:p>
    <w:p>
      <w:pPr>
        <w:pStyle w:val="57"/>
        <w:rPr>
          <w:rFonts w:ascii="宋体" w:hAnsi="宋体"/>
          <w:highlight w:val="none"/>
        </w:rPr>
      </w:pPr>
      <w:bookmarkStart w:id="7" w:name="_Toc270497415"/>
      <w:bookmarkStart w:id="8" w:name="_Toc29005"/>
      <w:r>
        <w:rPr>
          <w:rFonts w:hint="eastAsia" w:ascii="宋体" w:hAnsi="宋体"/>
          <w:highlight w:val="none"/>
        </w:rPr>
        <w:t>总则</w:t>
      </w:r>
      <w:bookmarkEnd w:id="7"/>
      <w:bookmarkEnd w:id="8"/>
    </w:p>
    <w:p>
      <w:pPr>
        <w:pStyle w:val="39"/>
        <w:ind w:firstLine="480"/>
        <w:rPr>
          <w:rFonts w:ascii="宋体" w:hAnsi="宋体"/>
          <w:highlight w:val="none"/>
        </w:rPr>
      </w:pPr>
      <w:r>
        <w:rPr>
          <w:rFonts w:hint="eastAsia" w:ascii="宋体" w:hAnsi="宋体"/>
          <w:highlight w:val="none"/>
        </w:rPr>
        <w:t>根据中华人民共和国招标投标法，经北京华信医院批准，现对</w:t>
      </w:r>
      <w:r>
        <w:rPr>
          <w:rFonts w:hint="eastAsia" w:ascii="宋体" w:hAnsi="宋体"/>
          <w:color w:val="000000"/>
          <w:highlight w:val="none"/>
        </w:rPr>
        <w:t>“</w:t>
      </w:r>
      <w:r>
        <w:rPr>
          <w:rFonts w:hint="eastAsia" w:ascii="宋体" w:hAnsi="宋体"/>
          <w:highlight w:val="none"/>
        </w:rPr>
        <w:t>薪传六十年，奋进新甲子</w:t>
      </w:r>
      <w:r>
        <w:rPr>
          <w:rFonts w:hint="eastAsia" w:ascii="宋体" w:hAnsi="宋体"/>
          <w:color w:val="000000"/>
          <w:highlight w:val="none"/>
        </w:rPr>
        <w:t>”北京华信医院建院60周年院庆活动</w:t>
      </w:r>
      <w:r>
        <w:rPr>
          <w:rFonts w:hint="eastAsia" w:ascii="宋体" w:hAnsi="宋体"/>
          <w:highlight w:val="none"/>
        </w:rPr>
        <w:t>项目策划、执行服务进行招标。</w:t>
      </w:r>
    </w:p>
    <w:p>
      <w:pPr>
        <w:pStyle w:val="57"/>
        <w:rPr>
          <w:rFonts w:ascii="宋体" w:hAnsi="宋体"/>
          <w:highlight w:val="none"/>
        </w:rPr>
      </w:pPr>
      <w:bookmarkStart w:id="9" w:name="_Toc26330"/>
      <w:r>
        <w:rPr>
          <w:rFonts w:hint="eastAsia" w:ascii="宋体" w:hAnsi="宋体"/>
          <w:highlight w:val="none"/>
        </w:rPr>
        <w:t>定义</w:t>
      </w:r>
      <w:bookmarkEnd w:id="9"/>
    </w:p>
    <w:p>
      <w:pPr>
        <w:pStyle w:val="55"/>
        <w:numPr>
          <w:ilvl w:val="0"/>
          <w:numId w:val="6"/>
        </w:numPr>
        <w:rPr>
          <w:rFonts w:ascii="宋体" w:hAnsi="宋体"/>
          <w:highlight w:val="none"/>
        </w:rPr>
      </w:pPr>
      <w:r>
        <w:rPr>
          <w:rFonts w:hint="eastAsia" w:ascii="宋体" w:hAnsi="宋体"/>
          <w:highlight w:val="none"/>
        </w:rPr>
        <w:t>招标人：北京华信医院</w:t>
      </w:r>
    </w:p>
    <w:p>
      <w:pPr>
        <w:pStyle w:val="55"/>
        <w:numPr>
          <w:ilvl w:val="0"/>
          <w:numId w:val="6"/>
        </w:numPr>
        <w:rPr>
          <w:rFonts w:ascii="宋体" w:hAnsi="宋体"/>
          <w:highlight w:val="none"/>
        </w:rPr>
      </w:pPr>
      <w:r>
        <w:rPr>
          <w:rFonts w:hint="eastAsia" w:ascii="宋体" w:hAnsi="宋体"/>
          <w:highlight w:val="none"/>
        </w:rPr>
        <w:t>产品：指投标人为本项目提供的产品、服务。</w:t>
      </w:r>
      <w:bookmarkStart w:id="10" w:name="_Toc270497418"/>
    </w:p>
    <w:p>
      <w:pPr>
        <w:pStyle w:val="55"/>
        <w:numPr>
          <w:ilvl w:val="0"/>
          <w:numId w:val="6"/>
        </w:numPr>
        <w:rPr>
          <w:rFonts w:ascii="宋体" w:hAnsi="宋体"/>
          <w:highlight w:val="none"/>
        </w:rPr>
      </w:pPr>
      <w:r>
        <w:rPr>
          <w:rFonts w:hint="eastAsia" w:ascii="宋体" w:hAnsi="宋体"/>
          <w:highlight w:val="none"/>
        </w:rPr>
        <w:t>招标方</w:t>
      </w:r>
      <w:r>
        <w:rPr>
          <w:rFonts w:hint="eastAsia" w:ascii="宋体" w:hAnsi="宋体"/>
          <w:color w:val="000000"/>
          <w:highlight w:val="none"/>
        </w:rPr>
        <w:t>式</w:t>
      </w:r>
      <w:bookmarkEnd w:id="10"/>
      <w:r>
        <w:rPr>
          <w:rFonts w:hint="eastAsia" w:ascii="宋体" w:hAnsi="宋体"/>
          <w:color w:val="000000"/>
          <w:highlight w:val="none"/>
        </w:rPr>
        <w:t>：本项目采用公开招标方式</w:t>
      </w:r>
      <w:r>
        <w:rPr>
          <w:rFonts w:hint="eastAsia" w:ascii="宋体" w:hAnsi="宋体"/>
          <w:highlight w:val="none"/>
        </w:rPr>
        <w:t>。</w:t>
      </w:r>
    </w:p>
    <w:p>
      <w:pPr>
        <w:pStyle w:val="57"/>
        <w:rPr>
          <w:rFonts w:ascii="宋体" w:hAnsi="宋体"/>
          <w:highlight w:val="none"/>
        </w:rPr>
      </w:pPr>
      <w:bookmarkStart w:id="11" w:name="_Toc270497419"/>
      <w:bookmarkStart w:id="12" w:name="_Toc10793"/>
      <w:r>
        <w:rPr>
          <w:rFonts w:hint="eastAsia" w:ascii="宋体" w:hAnsi="宋体"/>
          <w:szCs w:val="24"/>
          <w:highlight w:val="none"/>
        </w:rPr>
        <w:t>项目实施方</w:t>
      </w:r>
      <w:r>
        <w:rPr>
          <w:rFonts w:hint="eastAsia" w:ascii="宋体" w:hAnsi="宋体"/>
          <w:highlight w:val="none"/>
        </w:rPr>
        <w:t>式</w:t>
      </w:r>
      <w:bookmarkEnd w:id="11"/>
      <w:bookmarkEnd w:id="12"/>
    </w:p>
    <w:p>
      <w:pPr>
        <w:pStyle w:val="39"/>
        <w:adjustRightInd w:val="0"/>
        <w:snapToGrid w:val="0"/>
        <w:spacing w:line="300" w:lineRule="auto"/>
        <w:ind w:left="-105" w:leftChars="-50" w:firstLine="444" w:firstLineChars="185"/>
        <w:rPr>
          <w:rFonts w:ascii="宋体" w:hAnsi="宋体"/>
          <w:color w:val="000000"/>
          <w:szCs w:val="24"/>
          <w:highlight w:val="none"/>
        </w:rPr>
      </w:pPr>
      <w:r>
        <w:rPr>
          <w:rFonts w:hint="eastAsia" w:ascii="宋体" w:hAnsi="宋体"/>
          <w:color w:val="000000"/>
          <w:szCs w:val="24"/>
          <w:highlight w:val="none"/>
        </w:rPr>
        <w:t>本项目所采用的实施方式，为投标人独立实施。</w:t>
      </w:r>
    </w:p>
    <w:p>
      <w:pPr>
        <w:pStyle w:val="57"/>
        <w:rPr>
          <w:rFonts w:ascii="宋体" w:hAnsi="宋体"/>
          <w:highlight w:val="none"/>
        </w:rPr>
      </w:pPr>
      <w:bookmarkStart w:id="13" w:name="_Toc234922352"/>
      <w:bookmarkStart w:id="14" w:name="_Toc264881857"/>
      <w:bookmarkStart w:id="15" w:name="_Toc265850577"/>
      <w:bookmarkStart w:id="16" w:name="_Toc24260"/>
      <w:r>
        <w:rPr>
          <w:rFonts w:hint="eastAsia" w:ascii="宋体" w:hAnsi="宋体"/>
          <w:highlight w:val="none"/>
        </w:rPr>
        <w:t>投标人须知</w:t>
      </w:r>
      <w:bookmarkEnd w:id="13"/>
      <w:bookmarkEnd w:id="14"/>
      <w:bookmarkEnd w:id="15"/>
      <w:bookmarkEnd w:id="16"/>
    </w:p>
    <w:p>
      <w:pPr>
        <w:pStyle w:val="55"/>
        <w:numPr>
          <w:ilvl w:val="0"/>
          <w:numId w:val="7"/>
        </w:numPr>
        <w:rPr>
          <w:rFonts w:ascii="宋体" w:hAnsi="宋体"/>
          <w:highlight w:val="none"/>
        </w:rPr>
      </w:pPr>
      <w:r>
        <w:rPr>
          <w:rFonts w:hint="eastAsia" w:ascii="宋体" w:hAnsi="宋体"/>
          <w:highlight w:val="none"/>
        </w:rPr>
        <w:t>投标人须确保遵守国家规定的各种有关投标的规定、法规、法律文件等，具有良好的信誉和相关资历。</w:t>
      </w:r>
    </w:p>
    <w:p>
      <w:pPr>
        <w:pStyle w:val="55"/>
        <w:numPr>
          <w:ilvl w:val="0"/>
          <w:numId w:val="7"/>
        </w:numPr>
        <w:rPr>
          <w:rFonts w:ascii="宋体" w:hAnsi="宋体"/>
          <w:highlight w:val="none"/>
        </w:rPr>
      </w:pPr>
      <w:r>
        <w:rPr>
          <w:rFonts w:hint="eastAsia" w:ascii="宋体" w:hAnsi="宋体"/>
          <w:highlight w:val="none"/>
        </w:rPr>
        <w:t>投标人必须具备独立法人资格，有独立承担民事责任的能力和足够的技术实力。</w:t>
      </w:r>
    </w:p>
    <w:p>
      <w:pPr>
        <w:pStyle w:val="55"/>
        <w:numPr>
          <w:ilvl w:val="0"/>
          <w:numId w:val="7"/>
        </w:numPr>
        <w:rPr>
          <w:rFonts w:ascii="宋体" w:hAnsi="宋体"/>
          <w:highlight w:val="none"/>
        </w:rPr>
      </w:pPr>
      <w:r>
        <w:rPr>
          <w:rFonts w:hint="eastAsia" w:ascii="宋体" w:hAnsi="宋体"/>
          <w:highlight w:val="none"/>
        </w:rPr>
        <w:t>投标人应仔细阅读并理解招标文件的全部内容，并做出实质性响应。</w:t>
      </w:r>
    </w:p>
    <w:p>
      <w:pPr>
        <w:pStyle w:val="55"/>
        <w:numPr>
          <w:ilvl w:val="0"/>
          <w:numId w:val="7"/>
        </w:numPr>
        <w:rPr>
          <w:rFonts w:ascii="宋体" w:hAnsi="宋体"/>
          <w:highlight w:val="none"/>
        </w:rPr>
      </w:pPr>
      <w:r>
        <w:rPr>
          <w:rFonts w:hint="eastAsia" w:ascii="宋体" w:hAnsi="宋体"/>
          <w:highlight w:val="none"/>
        </w:rPr>
        <w:t>投标人须确保产品的功能和指标满足招标文件要求。</w:t>
      </w:r>
    </w:p>
    <w:p>
      <w:pPr>
        <w:pStyle w:val="55"/>
        <w:numPr>
          <w:ilvl w:val="0"/>
          <w:numId w:val="7"/>
        </w:numPr>
        <w:rPr>
          <w:rFonts w:ascii="宋体" w:hAnsi="宋体"/>
          <w:highlight w:val="none"/>
        </w:rPr>
      </w:pPr>
      <w:r>
        <w:rPr>
          <w:rFonts w:hint="eastAsia" w:ascii="宋体" w:hAnsi="宋体"/>
          <w:highlight w:val="none"/>
        </w:rPr>
        <w:t>投标人应当按照招标文件规定的内容和要求编制投标文件。</w:t>
      </w:r>
    </w:p>
    <w:p>
      <w:pPr>
        <w:pStyle w:val="55"/>
        <w:numPr>
          <w:ilvl w:val="0"/>
          <w:numId w:val="7"/>
        </w:numPr>
        <w:rPr>
          <w:rFonts w:ascii="宋体" w:hAnsi="宋体"/>
          <w:highlight w:val="none"/>
        </w:rPr>
      </w:pPr>
      <w:r>
        <w:rPr>
          <w:rFonts w:hint="eastAsia" w:ascii="宋体" w:hAnsi="宋体"/>
          <w:highlight w:val="none"/>
        </w:rPr>
        <w:t>投标人须确保有能力在规定期限内完成招标文件规定的全部内容。</w:t>
      </w:r>
    </w:p>
    <w:p>
      <w:pPr>
        <w:pStyle w:val="55"/>
        <w:numPr>
          <w:ilvl w:val="0"/>
          <w:numId w:val="7"/>
        </w:numPr>
        <w:rPr>
          <w:rFonts w:ascii="宋体" w:hAnsi="宋体"/>
          <w:highlight w:val="none"/>
        </w:rPr>
      </w:pPr>
      <w:r>
        <w:rPr>
          <w:rFonts w:hint="eastAsia" w:ascii="宋体" w:hAnsi="宋体"/>
          <w:highlight w:val="none"/>
        </w:rPr>
        <w:t>投标人在收到招标文件后，如有疑问，应以书面形式向招标人提出，招标人将以书面形式予以答复，但不说明答复的来源。</w:t>
      </w:r>
    </w:p>
    <w:p>
      <w:pPr>
        <w:pStyle w:val="55"/>
        <w:numPr>
          <w:ilvl w:val="0"/>
          <w:numId w:val="7"/>
        </w:numPr>
        <w:rPr>
          <w:rFonts w:ascii="宋体" w:hAnsi="宋体"/>
          <w:highlight w:val="none"/>
        </w:rPr>
      </w:pPr>
      <w:r>
        <w:rPr>
          <w:rFonts w:hint="eastAsia" w:ascii="宋体" w:hAnsi="宋体"/>
          <w:highlight w:val="none"/>
        </w:rPr>
        <w:t>无论投标结果如何，投标人应承担编制投标文件、递交投标文件、考察等所涉及的一切费用。</w:t>
      </w:r>
    </w:p>
    <w:p>
      <w:pPr>
        <w:pStyle w:val="55"/>
        <w:numPr>
          <w:ilvl w:val="0"/>
          <w:numId w:val="7"/>
        </w:numPr>
        <w:rPr>
          <w:rFonts w:ascii="宋体" w:hAnsi="宋体"/>
          <w:highlight w:val="none"/>
        </w:rPr>
      </w:pPr>
      <w:r>
        <w:rPr>
          <w:rFonts w:hint="eastAsia" w:ascii="宋体" w:hAnsi="宋体"/>
          <w:highlight w:val="none"/>
        </w:rPr>
        <w:t>招标人对未中标者不予补偿。</w:t>
      </w:r>
    </w:p>
    <w:p>
      <w:pPr>
        <w:pStyle w:val="55"/>
        <w:numPr>
          <w:ilvl w:val="0"/>
          <w:numId w:val="7"/>
        </w:numPr>
        <w:rPr>
          <w:rFonts w:ascii="宋体" w:hAnsi="宋体"/>
          <w:highlight w:val="none"/>
        </w:rPr>
      </w:pPr>
      <w:r>
        <w:rPr>
          <w:rFonts w:hint="eastAsia" w:ascii="宋体" w:hAnsi="宋体"/>
          <w:highlight w:val="none"/>
        </w:rPr>
        <w:t>投标人须提供《投标承诺函》（附件一），作为投标文件的一部分。</w:t>
      </w:r>
    </w:p>
    <w:p>
      <w:pPr>
        <w:pStyle w:val="55"/>
        <w:ind w:left="420" w:leftChars="200"/>
        <w:rPr>
          <w:rFonts w:ascii="宋体" w:hAnsi="宋体"/>
          <w:highlight w:val="none"/>
        </w:rPr>
      </w:pPr>
      <w:r>
        <w:rPr>
          <w:rFonts w:hint="eastAsia" w:ascii="宋体" w:hAnsi="宋体"/>
          <w:highlight w:val="none"/>
        </w:rPr>
        <w:t>开标时，要求投标人携带营业执照及营业资质的原件，该项目经理身份与业绩资料等证明文件，以备查验，并提供已完成相关项目的合同原件。</w:t>
      </w:r>
    </w:p>
    <w:p>
      <w:pPr>
        <w:pStyle w:val="55"/>
        <w:ind w:left="420" w:leftChars="200"/>
        <w:rPr>
          <w:rFonts w:ascii="宋体" w:hAnsi="宋体"/>
          <w:highlight w:val="none"/>
        </w:rPr>
      </w:pPr>
      <w:r>
        <w:rPr>
          <w:rFonts w:hint="eastAsia" w:ascii="宋体" w:hAnsi="宋体"/>
          <w:highlight w:val="none"/>
        </w:rPr>
        <w:t>投标人不得以任何方式干扰招标、开标、评标工作的正常进行；不遵守开标、评标秩序，或做出其它任何企图影响评标工作的行动的，将取消其参与评标的资格。</w:t>
      </w:r>
    </w:p>
    <w:p>
      <w:pPr>
        <w:pStyle w:val="57"/>
        <w:rPr>
          <w:rFonts w:ascii="宋体" w:hAnsi="宋体"/>
          <w:highlight w:val="none"/>
        </w:rPr>
      </w:pPr>
      <w:bookmarkStart w:id="17" w:name="_Toc17931"/>
      <w:r>
        <w:rPr>
          <w:rFonts w:hint="eastAsia" w:ascii="宋体" w:hAnsi="宋体"/>
          <w:highlight w:val="none"/>
        </w:rPr>
        <w:t>投标单位资质要求</w:t>
      </w:r>
      <w:bookmarkEnd w:id="17"/>
    </w:p>
    <w:p>
      <w:pPr>
        <w:pStyle w:val="55"/>
        <w:numPr>
          <w:ilvl w:val="0"/>
          <w:numId w:val="8"/>
        </w:numPr>
        <w:rPr>
          <w:rFonts w:ascii="宋体" w:hAnsi="宋体"/>
          <w:highlight w:val="none"/>
        </w:rPr>
      </w:pPr>
      <w:r>
        <w:rPr>
          <w:rFonts w:hint="eastAsia" w:ascii="宋体" w:hAnsi="宋体"/>
          <w:highlight w:val="none"/>
        </w:rPr>
        <w:t>投标人须为具有法人资格，具有丰富的政府类庆典项目或相关项目活动策划、执行经验。</w:t>
      </w:r>
    </w:p>
    <w:p>
      <w:pPr>
        <w:pStyle w:val="55"/>
        <w:numPr>
          <w:ilvl w:val="0"/>
          <w:numId w:val="8"/>
        </w:numPr>
        <w:rPr>
          <w:rFonts w:ascii="宋体" w:hAnsi="宋体"/>
          <w:highlight w:val="none"/>
        </w:rPr>
      </w:pPr>
      <w:r>
        <w:rPr>
          <w:rFonts w:hint="eastAsia" w:ascii="宋体" w:hAnsi="宋体"/>
          <w:highlight w:val="none"/>
        </w:rPr>
        <w:t>熟悉大型活动的要求，且能根据现场突发事件，具有调动资源能力；</w:t>
      </w:r>
    </w:p>
    <w:p>
      <w:pPr>
        <w:pStyle w:val="55"/>
        <w:numPr>
          <w:ilvl w:val="0"/>
          <w:numId w:val="0"/>
        </w:numPr>
        <w:tabs>
          <w:tab w:val="clear" w:pos="312"/>
        </w:tabs>
        <w:ind w:left="420"/>
        <w:rPr>
          <w:rFonts w:ascii="宋体" w:hAnsi="宋体"/>
          <w:highlight w:val="none"/>
        </w:rPr>
      </w:pPr>
    </w:p>
    <w:p>
      <w:pPr>
        <w:pStyle w:val="38"/>
        <w:rPr>
          <w:rFonts w:ascii="宋体" w:hAnsi="宋体"/>
          <w:highlight w:val="none"/>
        </w:rPr>
      </w:pPr>
      <w:bookmarkStart w:id="18" w:name="_Toc16097"/>
      <w:r>
        <w:rPr>
          <w:rFonts w:hint="eastAsia" w:ascii="宋体" w:hAnsi="宋体"/>
          <w:highlight w:val="none"/>
        </w:rPr>
        <w:t>招标文件</w:t>
      </w:r>
      <w:bookmarkEnd w:id="18"/>
    </w:p>
    <w:p>
      <w:pPr>
        <w:pStyle w:val="57"/>
        <w:pBdr>
          <w:bottom w:val="single" w:color="auto" w:sz="2" w:space="0"/>
        </w:pBdr>
        <w:rPr>
          <w:rFonts w:ascii="宋体" w:hAnsi="宋体"/>
          <w:highlight w:val="none"/>
        </w:rPr>
      </w:pPr>
      <w:bookmarkStart w:id="19" w:name="_Toc20108"/>
      <w:r>
        <w:rPr>
          <w:rFonts w:hint="eastAsia" w:ascii="宋体" w:hAnsi="宋体"/>
          <w:highlight w:val="none"/>
        </w:rPr>
        <w:t>招标文件的组成</w:t>
      </w:r>
      <w:bookmarkEnd w:id="19"/>
    </w:p>
    <w:p>
      <w:pPr>
        <w:pStyle w:val="55"/>
        <w:numPr>
          <w:ilvl w:val="0"/>
          <w:numId w:val="9"/>
        </w:numPr>
        <w:rPr>
          <w:rFonts w:ascii="宋体" w:hAnsi="宋体"/>
          <w:highlight w:val="none"/>
        </w:rPr>
      </w:pPr>
      <w:r>
        <w:rPr>
          <w:rFonts w:hint="eastAsia" w:ascii="宋体" w:hAnsi="宋体"/>
          <w:highlight w:val="none"/>
        </w:rPr>
        <w:t>招标文件由招标文件总目录所列内容组成。</w:t>
      </w:r>
    </w:p>
    <w:p>
      <w:pPr>
        <w:pStyle w:val="55"/>
        <w:numPr>
          <w:ilvl w:val="0"/>
          <w:numId w:val="9"/>
        </w:numPr>
        <w:rPr>
          <w:rFonts w:ascii="宋体" w:hAnsi="宋体"/>
          <w:highlight w:val="none"/>
        </w:rPr>
      </w:pPr>
      <w:r>
        <w:rPr>
          <w:rFonts w:hint="eastAsia" w:ascii="宋体" w:hAnsi="宋体"/>
          <w:highlight w:val="none"/>
        </w:rPr>
        <w:t>投标人详细阅读招标文件的全部内容。不按招标文件的要求提供的投标文件和资料，可能导致投标被拒绝。</w:t>
      </w:r>
    </w:p>
    <w:p>
      <w:pPr>
        <w:pStyle w:val="57"/>
        <w:rPr>
          <w:rFonts w:ascii="宋体" w:hAnsi="宋体"/>
          <w:highlight w:val="none"/>
        </w:rPr>
      </w:pPr>
      <w:bookmarkStart w:id="20" w:name="_Toc533413149"/>
      <w:bookmarkStart w:id="21" w:name="_Toc533998779"/>
      <w:bookmarkStart w:id="22" w:name="_Toc534087348"/>
      <w:bookmarkStart w:id="23" w:name="_Toc24182"/>
      <w:bookmarkStart w:id="24" w:name="_Toc533413548"/>
      <w:bookmarkStart w:id="25" w:name="_Toc536867084"/>
      <w:r>
        <w:rPr>
          <w:rFonts w:hint="eastAsia" w:ascii="宋体" w:hAnsi="宋体"/>
          <w:highlight w:val="none"/>
        </w:rPr>
        <w:t>招标文件的澄清</w:t>
      </w:r>
      <w:bookmarkEnd w:id="20"/>
      <w:bookmarkEnd w:id="21"/>
      <w:bookmarkEnd w:id="22"/>
      <w:bookmarkEnd w:id="23"/>
      <w:bookmarkEnd w:id="24"/>
      <w:bookmarkEnd w:id="25"/>
    </w:p>
    <w:p>
      <w:pPr>
        <w:pStyle w:val="39"/>
        <w:ind w:firstLine="480"/>
        <w:rPr>
          <w:rFonts w:ascii="宋体" w:hAnsi="宋体"/>
          <w:highlight w:val="none"/>
        </w:rPr>
      </w:pPr>
      <w:r>
        <w:rPr>
          <w:rFonts w:hint="eastAsia" w:ascii="宋体" w:hAnsi="宋体"/>
          <w:highlight w:val="none"/>
        </w:rPr>
        <w:t>投标人对招标文件如有疑点要求澄清，或认为有必要与招标人进行技术交流时，可用书面、传真形式通知招标人，招标人将视情况以书面形式予以答复，如有必要时可将答复内容包括原提出的问题（但不标明问题查询的来源），分发给所有取得同一招标文件的投标人。</w:t>
      </w:r>
    </w:p>
    <w:p>
      <w:pPr>
        <w:pStyle w:val="55"/>
        <w:numPr>
          <w:ilvl w:val="0"/>
          <w:numId w:val="0"/>
        </w:numPr>
        <w:tabs>
          <w:tab w:val="clear" w:pos="312"/>
        </w:tabs>
        <w:adjustRightInd w:val="0"/>
        <w:snapToGrid w:val="0"/>
        <w:spacing w:line="300" w:lineRule="auto"/>
        <w:ind w:left="-105" w:leftChars="-50" w:firstLine="444" w:firstLineChars="185"/>
        <w:rPr>
          <w:rFonts w:ascii="宋体" w:hAnsi="宋体"/>
          <w:szCs w:val="24"/>
          <w:highlight w:val="none"/>
        </w:rPr>
      </w:pPr>
    </w:p>
    <w:p>
      <w:pPr>
        <w:pStyle w:val="38"/>
        <w:rPr>
          <w:rFonts w:ascii="宋体" w:hAnsi="宋体"/>
          <w:highlight w:val="none"/>
        </w:rPr>
      </w:pPr>
      <w:bookmarkStart w:id="26" w:name="_Toc264881858"/>
      <w:bookmarkStart w:id="27" w:name="_Toc10664"/>
      <w:bookmarkStart w:id="28" w:name="_Toc265850578"/>
      <w:bookmarkStart w:id="29" w:name="_Toc234922353"/>
      <w:r>
        <w:rPr>
          <w:rFonts w:hint="eastAsia" w:ascii="宋体" w:hAnsi="宋体"/>
          <w:highlight w:val="none"/>
        </w:rPr>
        <w:t>投标文件的内容和要求</w:t>
      </w:r>
      <w:bookmarkEnd w:id="26"/>
      <w:bookmarkEnd w:id="27"/>
      <w:bookmarkEnd w:id="28"/>
      <w:bookmarkEnd w:id="29"/>
    </w:p>
    <w:p>
      <w:pPr>
        <w:pStyle w:val="57"/>
        <w:rPr>
          <w:rFonts w:ascii="宋体" w:hAnsi="宋体"/>
          <w:highlight w:val="none"/>
        </w:rPr>
      </w:pPr>
      <w:bookmarkStart w:id="30" w:name="_Toc28719"/>
      <w:r>
        <w:rPr>
          <w:rFonts w:hint="eastAsia" w:ascii="宋体" w:hAnsi="宋体"/>
          <w:highlight w:val="none"/>
        </w:rPr>
        <w:t>投标文件计量单位</w:t>
      </w:r>
      <w:bookmarkEnd w:id="30"/>
    </w:p>
    <w:p>
      <w:pPr>
        <w:pStyle w:val="39"/>
        <w:ind w:firstLine="480"/>
        <w:rPr>
          <w:rFonts w:ascii="宋体" w:hAnsi="宋体"/>
          <w:highlight w:val="none"/>
        </w:rPr>
      </w:pPr>
      <w:r>
        <w:rPr>
          <w:rFonts w:hint="eastAsia" w:ascii="宋体" w:hAnsi="宋体"/>
          <w:highlight w:val="none"/>
        </w:rPr>
        <w:t>投标文件中所使用的计量单位，除招标文件中有特殊要求外，应采用国家法定计量单位。</w:t>
      </w:r>
    </w:p>
    <w:p>
      <w:pPr>
        <w:pStyle w:val="57"/>
        <w:rPr>
          <w:rFonts w:ascii="宋体" w:hAnsi="宋体"/>
          <w:highlight w:val="none"/>
        </w:rPr>
      </w:pPr>
      <w:bookmarkStart w:id="31" w:name="_Toc6518"/>
      <w:r>
        <w:rPr>
          <w:rFonts w:hint="eastAsia" w:ascii="宋体" w:hAnsi="宋体"/>
          <w:highlight w:val="none"/>
        </w:rPr>
        <w:t>投标文件组成</w:t>
      </w:r>
      <w:bookmarkEnd w:id="31"/>
    </w:p>
    <w:p>
      <w:pPr>
        <w:pStyle w:val="39"/>
        <w:ind w:firstLine="480"/>
        <w:rPr>
          <w:rFonts w:ascii="宋体" w:hAnsi="宋体"/>
          <w:highlight w:val="none"/>
        </w:rPr>
      </w:pPr>
      <w:r>
        <w:rPr>
          <w:rFonts w:hint="eastAsia" w:ascii="宋体" w:hAnsi="宋体"/>
          <w:highlight w:val="none"/>
        </w:rPr>
        <w:t>投标文件由以下部分组成：</w:t>
      </w:r>
    </w:p>
    <w:p>
      <w:pPr>
        <w:pStyle w:val="55"/>
        <w:numPr>
          <w:ilvl w:val="0"/>
          <w:numId w:val="10"/>
        </w:numPr>
        <w:ind w:firstLine="0"/>
        <w:rPr>
          <w:rFonts w:ascii="宋体" w:hAnsi="宋体"/>
          <w:highlight w:val="none"/>
        </w:rPr>
      </w:pPr>
      <w:r>
        <w:rPr>
          <w:rFonts w:hint="eastAsia" w:ascii="宋体" w:hAnsi="宋体"/>
          <w:highlight w:val="none"/>
        </w:rPr>
        <w:t>投标函（见附件二）。</w:t>
      </w:r>
    </w:p>
    <w:p>
      <w:pPr>
        <w:pStyle w:val="55"/>
        <w:rPr>
          <w:rFonts w:ascii="宋体" w:hAnsi="宋体"/>
          <w:highlight w:val="none"/>
        </w:rPr>
      </w:pPr>
      <w:r>
        <w:rPr>
          <w:rFonts w:hint="eastAsia" w:ascii="宋体" w:hAnsi="宋体"/>
          <w:highlight w:val="none"/>
        </w:rPr>
        <w:t>开标一览表（见附件三），分项报价表（见附件四）</w:t>
      </w:r>
    </w:p>
    <w:p>
      <w:pPr>
        <w:pStyle w:val="55"/>
        <w:numPr>
          <w:ilvl w:val="0"/>
          <w:numId w:val="0"/>
        </w:numPr>
        <w:tabs>
          <w:tab w:val="clear" w:pos="312"/>
        </w:tabs>
        <w:adjustRightInd w:val="0"/>
        <w:snapToGrid w:val="0"/>
        <w:spacing w:line="300" w:lineRule="auto"/>
        <w:ind w:left="-5" w:firstLine="424" w:firstLineChars="177"/>
        <w:rPr>
          <w:rFonts w:ascii="宋体" w:hAnsi="宋体"/>
          <w:szCs w:val="24"/>
          <w:highlight w:val="none"/>
        </w:rPr>
      </w:pPr>
      <w:r>
        <w:rPr>
          <w:rFonts w:hint="eastAsia" w:ascii="宋体" w:hAnsi="宋体"/>
          <w:szCs w:val="24"/>
          <w:highlight w:val="none"/>
        </w:rPr>
        <w:t>开标一览表、分项报价表中所有报价均采用人民币报价，其金额包括但不限于场地搭建费用、工作及演艺人员费用、交通住宿费用、运输费用及相关税费等。中标单位不得再另行收取任何其他的费用。</w:t>
      </w:r>
    </w:p>
    <w:p>
      <w:pPr>
        <w:pStyle w:val="55"/>
        <w:rPr>
          <w:highlight w:val="none"/>
        </w:rPr>
      </w:pPr>
      <w:r>
        <w:rPr>
          <w:highlight w:val="none"/>
        </w:rPr>
        <w:t>资格证明文件</w:t>
      </w:r>
      <w:r>
        <w:rPr>
          <w:rFonts w:hint="eastAsia"/>
          <w:highlight w:val="none"/>
        </w:rPr>
        <w:t>（所有资质证明文件均需盖有法人单位公章）</w:t>
      </w:r>
      <w:r>
        <w:rPr>
          <w:highlight w:val="none"/>
        </w:rPr>
        <w:t>，包括：</w:t>
      </w:r>
    </w:p>
    <w:p>
      <w:pPr>
        <w:pStyle w:val="47"/>
        <w:ind w:left="1320" w:leftChars="400" w:hanging="480" w:hangingChars="200"/>
        <w:rPr>
          <w:rFonts w:ascii="宋体" w:hAnsi="宋体"/>
          <w:highlight w:val="none"/>
        </w:rPr>
      </w:pPr>
      <w:r>
        <w:rPr>
          <w:rFonts w:hint="eastAsia" w:ascii="宋体" w:hAnsi="宋体"/>
          <w:highlight w:val="none"/>
        </w:rPr>
        <w:t>公司介绍；</w:t>
      </w:r>
    </w:p>
    <w:p>
      <w:pPr>
        <w:pStyle w:val="47"/>
        <w:ind w:left="1320" w:leftChars="400" w:hanging="480" w:hangingChars="200"/>
        <w:rPr>
          <w:rFonts w:ascii="宋体" w:hAnsi="宋体"/>
          <w:highlight w:val="none"/>
        </w:rPr>
      </w:pPr>
      <w:r>
        <w:rPr>
          <w:rFonts w:ascii="宋体" w:hAnsi="宋体"/>
          <w:highlight w:val="none"/>
        </w:rPr>
        <w:t>企业《企业法人营业执照》</w:t>
      </w:r>
      <w:r>
        <w:rPr>
          <w:rFonts w:hint="eastAsia" w:ascii="宋体" w:hAnsi="宋体"/>
          <w:highlight w:val="none"/>
        </w:rPr>
        <w:t>、《税务登记证》、《组织机构代码证》（若已三证合一，提供营业执照）</w:t>
      </w:r>
      <w:r>
        <w:rPr>
          <w:rFonts w:ascii="宋体" w:hAnsi="宋体"/>
          <w:highlight w:val="none"/>
        </w:rPr>
        <w:t>及相关证照复印件，并加盖法人单位公章；</w:t>
      </w:r>
    </w:p>
    <w:p>
      <w:pPr>
        <w:pStyle w:val="47"/>
        <w:ind w:left="1320" w:leftChars="400" w:hanging="480" w:hangingChars="200"/>
        <w:rPr>
          <w:rFonts w:ascii="宋体" w:hAnsi="宋体"/>
          <w:highlight w:val="none"/>
        </w:rPr>
      </w:pPr>
      <w:r>
        <w:rPr>
          <w:rFonts w:hint="eastAsia" w:ascii="宋体" w:hAnsi="宋体"/>
          <w:highlight w:val="none"/>
        </w:rPr>
        <w:t>法人代表授权书；</w:t>
      </w:r>
    </w:p>
    <w:p>
      <w:pPr>
        <w:pStyle w:val="47"/>
        <w:ind w:left="1320" w:leftChars="400" w:hanging="480" w:hangingChars="200"/>
        <w:rPr>
          <w:rFonts w:ascii="宋体" w:hAnsi="宋体"/>
          <w:highlight w:val="none"/>
        </w:rPr>
      </w:pPr>
      <w:r>
        <w:rPr>
          <w:rFonts w:ascii="宋体" w:hAnsi="宋体"/>
          <w:highlight w:val="none"/>
        </w:rPr>
        <w:t>法人代表或授权代表有效身份证（</w:t>
      </w:r>
      <w:r>
        <w:rPr>
          <w:rFonts w:hint="eastAsia" w:ascii="宋体" w:hAnsi="宋体"/>
          <w:highlight w:val="none"/>
        </w:rPr>
        <w:t>盖有法人单位公章的复印件，包括正反两面</w:t>
      </w:r>
      <w:r>
        <w:rPr>
          <w:rFonts w:ascii="宋体" w:hAnsi="宋体"/>
          <w:highlight w:val="none"/>
        </w:rPr>
        <w:t>）；</w:t>
      </w:r>
    </w:p>
    <w:p>
      <w:pPr>
        <w:pStyle w:val="47"/>
        <w:ind w:left="1320" w:leftChars="400" w:hanging="480" w:hangingChars="200"/>
        <w:rPr>
          <w:rFonts w:ascii="宋体" w:hAnsi="宋体"/>
          <w:highlight w:val="none"/>
        </w:rPr>
      </w:pPr>
      <w:r>
        <w:rPr>
          <w:rFonts w:ascii="宋体" w:hAnsi="宋体"/>
          <w:highlight w:val="none"/>
        </w:rPr>
        <w:t>投标人经营业绩情况</w:t>
      </w:r>
      <w:r>
        <w:rPr>
          <w:rFonts w:hint="eastAsia" w:ascii="宋体" w:hAnsi="宋体"/>
          <w:highlight w:val="none"/>
        </w:rPr>
        <w:t>，至少应包括近两年的国内大型活动策划执行单次项目超过50万元的合同及发票；</w:t>
      </w:r>
    </w:p>
    <w:p>
      <w:pPr>
        <w:pStyle w:val="55"/>
        <w:rPr>
          <w:rFonts w:ascii="宋体" w:hAnsi="宋体"/>
          <w:highlight w:val="none"/>
        </w:rPr>
      </w:pPr>
      <w:r>
        <w:rPr>
          <w:rFonts w:hint="eastAsia" w:ascii="宋体" w:hAnsi="宋体"/>
          <w:highlight w:val="none"/>
        </w:rPr>
        <w:t>项目技术方案。针对招标文件项目技术要求，提出</w:t>
      </w:r>
      <w:r>
        <w:rPr>
          <w:rFonts w:hint="eastAsia" w:ascii="宋体" w:hAnsi="宋体"/>
          <w:highlight w:val="none"/>
          <w:lang w:eastAsia="zh-CN"/>
        </w:rPr>
        <w:t>明确的深化</w:t>
      </w:r>
      <w:r>
        <w:rPr>
          <w:rFonts w:hint="eastAsia" w:ascii="宋体" w:hAnsi="宋体"/>
          <w:highlight w:val="none"/>
        </w:rPr>
        <w:t>方案。</w:t>
      </w:r>
    </w:p>
    <w:p>
      <w:pPr>
        <w:pStyle w:val="55"/>
        <w:rPr>
          <w:rFonts w:ascii="宋体" w:hAnsi="宋体"/>
          <w:highlight w:val="none"/>
        </w:rPr>
      </w:pPr>
      <w:r>
        <w:rPr>
          <w:rFonts w:hint="eastAsia" w:ascii="宋体" w:hAnsi="宋体"/>
          <w:highlight w:val="none"/>
        </w:rPr>
        <w:t>项目商务方案。针对招标文件中项目商务要求，提出相应的解决方案。</w:t>
      </w:r>
    </w:p>
    <w:p>
      <w:pPr>
        <w:pStyle w:val="55"/>
        <w:rPr>
          <w:rFonts w:ascii="宋体" w:hAnsi="宋体"/>
          <w:highlight w:val="none"/>
        </w:rPr>
      </w:pPr>
      <w:r>
        <w:rPr>
          <w:rFonts w:hint="eastAsia" w:ascii="宋体" w:hAnsi="宋体"/>
          <w:highlight w:val="none"/>
        </w:rPr>
        <w:t>产品的详细说明。针对招标文件的要求，提供产品的详细信息（应与报价单中的模块构成相一致）。</w:t>
      </w:r>
    </w:p>
    <w:p>
      <w:pPr>
        <w:pStyle w:val="55"/>
        <w:rPr>
          <w:rFonts w:ascii="宋体" w:hAnsi="宋体"/>
          <w:highlight w:val="none"/>
        </w:rPr>
      </w:pPr>
      <w:r>
        <w:rPr>
          <w:rFonts w:hint="eastAsia" w:ascii="宋体" w:hAnsi="宋体"/>
          <w:highlight w:val="none"/>
        </w:rPr>
        <w:t>成功案例。列举与此招标项目类似的成功案例，包括项目实施时间、单位、应用范围、投标人参与的核心成员等。</w:t>
      </w:r>
    </w:p>
    <w:p>
      <w:pPr>
        <w:pStyle w:val="55"/>
        <w:rPr>
          <w:rFonts w:ascii="宋体" w:hAnsi="宋体"/>
          <w:highlight w:val="none"/>
        </w:rPr>
      </w:pPr>
      <w:r>
        <w:rPr>
          <w:rFonts w:hint="eastAsia" w:ascii="宋体" w:hAnsi="宋体"/>
          <w:highlight w:val="none"/>
        </w:rPr>
        <w:t>项目团队。列示拟参与项目的团队成员及工作简历。</w:t>
      </w:r>
    </w:p>
    <w:p>
      <w:pPr>
        <w:pStyle w:val="55"/>
        <w:rPr>
          <w:rFonts w:ascii="宋体" w:hAnsi="宋体"/>
          <w:highlight w:val="none"/>
        </w:rPr>
      </w:pPr>
      <w:r>
        <w:rPr>
          <w:rFonts w:hint="eastAsia" w:ascii="宋体" w:hAnsi="宋体"/>
          <w:highlight w:val="none"/>
        </w:rPr>
        <w:t>服务承诺及优惠条件。</w:t>
      </w:r>
    </w:p>
    <w:p>
      <w:pPr>
        <w:pStyle w:val="55"/>
        <w:rPr>
          <w:rFonts w:ascii="宋体" w:hAnsi="宋体"/>
          <w:highlight w:val="none"/>
        </w:rPr>
      </w:pPr>
      <w:r>
        <w:rPr>
          <w:rFonts w:hint="eastAsia" w:ascii="宋体" w:hAnsi="宋体"/>
          <w:highlight w:val="none"/>
        </w:rPr>
        <w:t>其它需要说明的事项。</w:t>
      </w:r>
    </w:p>
    <w:p>
      <w:pPr>
        <w:pStyle w:val="57"/>
        <w:rPr>
          <w:rFonts w:ascii="宋体" w:hAnsi="宋体"/>
          <w:highlight w:val="none"/>
        </w:rPr>
      </w:pPr>
      <w:bookmarkStart w:id="32" w:name="_Toc1913"/>
      <w:r>
        <w:rPr>
          <w:rFonts w:hint="eastAsia" w:ascii="宋体" w:hAnsi="宋体"/>
          <w:highlight w:val="none"/>
        </w:rPr>
        <w:t>投标文件的有效期</w:t>
      </w:r>
      <w:bookmarkEnd w:id="32"/>
    </w:p>
    <w:p>
      <w:pPr>
        <w:pStyle w:val="55"/>
        <w:numPr>
          <w:ilvl w:val="0"/>
          <w:numId w:val="11"/>
        </w:numPr>
        <w:rPr>
          <w:rFonts w:ascii="宋体" w:hAnsi="宋体"/>
          <w:highlight w:val="none"/>
        </w:rPr>
      </w:pPr>
      <w:r>
        <w:rPr>
          <w:rFonts w:hint="eastAsia" w:ascii="宋体" w:hAnsi="宋体"/>
          <w:highlight w:val="none"/>
        </w:rPr>
        <w:t>自开标日起90天内，投标书应保持有效。有效期短于这个规定期限的投标将被拒绝。</w:t>
      </w:r>
    </w:p>
    <w:p>
      <w:pPr>
        <w:pStyle w:val="55"/>
        <w:ind w:leftChars="200" w:firstLine="0"/>
        <w:rPr>
          <w:rFonts w:ascii="宋体" w:hAnsi="宋体"/>
          <w:highlight w:val="none"/>
        </w:rPr>
      </w:pPr>
      <w:r>
        <w:rPr>
          <w:rFonts w:hint="eastAsia" w:ascii="宋体" w:hAnsi="宋体"/>
          <w:highlight w:val="none"/>
        </w:rPr>
        <w:t>在特殊情况下，招标人可与投标人协商延长投标书的有效期。这种要求和答复都应以书面、传真的形式进行。</w:t>
      </w:r>
    </w:p>
    <w:p>
      <w:pPr>
        <w:pStyle w:val="57"/>
        <w:rPr>
          <w:rFonts w:ascii="宋体" w:hAnsi="宋体"/>
          <w:highlight w:val="none"/>
        </w:rPr>
      </w:pPr>
      <w:bookmarkStart w:id="33" w:name="_Toc7832"/>
      <w:r>
        <w:rPr>
          <w:rFonts w:hint="eastAsia" w:ascii="宋体" w:hAnsi="宋体"/>
          <w:highlight w:val="none"/>
        </w:rPr>
        <w:t>投标文件格式</w:t>
      </w:r>
      <w:bookmarkEnd w:id="33"/>
    </w:p>
    <w:p>
      <w:pPr>
        <w:pStyle w:val="55"/>
        <w:numPr>
          <w:ilvl w:val="0"/>
          <w:numId w:val="12"/>
        </w:numPr>
        <w:rPr>
          <w:rFonts w:ascii="宋体" w:hAnsi="宋体"/>
          <w:highlight w:val="none"/>
        </w:rPr>
      </w:pPr>
      <w:r>
        <w:rPr>
          <w:rFonts w:hint="eastAsia" w:ascii="宋体" w:hAnsi="宋体"/>
          <w:highlight w:val="none"/>
        </w:rPr>
        <w:t>投标文件语言应采用中文。</w:t>
      </w:r>
    </w:p>
    <w:p>
      <w:pPr>
        <w:pStyle w:val="55"/>
        <w:numPr>
          <w:ilvl w:val="0"/>
          <w:numId w:val="12"/>
        </w:numPr>
        <w:rPr>
          <w:rFonts w:ascii="宋体" w:hAnsi="宋体"/>
          <w:highlight w:val="none"/>
        </w:rPr>
      </w:pPr>
      <w:r>
        <w:rPr>
          <w:rFonts w:ascii="宋体" w:hAnsi="宋体"/>
          <w:highlight w:val="none"/>
        </w:rPr>
        <w:t>投标文件字体书写必须工整清楚，易于辨认，文义明白准确。投标文件不得涂改和增删。如因字迹潦草或表达不清所引起的后果由</w:t>
      </w:r>
      <w:r>
        <w:rPr>
          <w:rFonts w:hint="eastAsia" w:ascii="宋体" w:hAnsi="宋体"/>
          <w:highlight w:val="none"/>
        </w:rPr>
        <w:t>投标人</w:t>
      </w:r>
      <w:r>
        <w:rPr>
          <w:rFonts w:ascii="宋体" w:hAnsi="宋体"/>
          <w:highlight w:val="none"/>
        </w:rPr>
        <w:t>负责</w:t>
      </w:r>
      <w:r>
        <w:rPr>
          <w:rFonts w:hint="eastAsia" w:ascii="宋体" w:hAnsi="宋体"/>
          <w:highlight w:val="none"/>
        </w:rPr>
        <w:t>。</w:t>
      </w:r>
    </w:p>
    <w:p>
      <w:pPr>
        <w:pStyle w:val="55"/>
        <w:numPr>
          <w:ilvl w:val="0"/>
          <w:numId w:val="12"/>
        </w:numPr>
        <w:rPr>
          <w:rFonts w:ascii="宋体" w:hAnsi="宋体"/>
          <w:highlight w:val="none"/>
        </w:rPr>
      </w:pPr>
      <w:r>
        <w:rPr>
          <w:rFonts w:ascii="宋体" w:hAnsi="宋体"/>
          <w:highlight w:val="none"/>
        </w:rPr>
        <w:t>投标文件必须用不褪色的墨水填写或打印。</w:t>
      </w:r>
    </w:p>
    <w:p>
      <w:pPr>
        <w:pStyle w:val="55"/>
        <w:numPr>
          <w:ilvl w:val="0"/>
          <w:numId w:val="12"/>
        </w:numPr>
        <w:rPr>
          <w:rFonts w:ascii="宋体" w:hAnsi="宋体"/>
          <w:highlight w:val="none"/>
        </w:rPr>
      </w:pPr>
      <w:r>
        <w:rPr>
          <w:rFonts w:ascii="宋体" w:hAnsi="宋体"/>
          <w:highlight w:val="none"/>
        </w:rPr>
        <w:t>投标文件必须由法人代表或授权代表签署，</w:t>
      </w:r>
      <w:r>
        <w:rPr>
          <w:rFonts w:hint="eastAsia" w:ascii="宋体" w:hAnsi="宋体"/>
          <w:highlight w:val="none"/>
        </w:rPr>
        <w:t>投标人</w:t>
      </w:r>
      <w:r>
        <w:rPr>
          <w:rFonts w:ascii="宋体" w:hAnsi="宋体"/>
          <w:highlight w:val="none"/>
        </w:rPr>
        <w:t>应填写全称，并加盖公章</w:t>
      </w:r>
      <w:r>
        <w:rPr>
          <w:rFonts w:hint="eastAsia" w:ascii="宋体" w:hAnsi="宋体"/>
          <w:highlight w:val="none"/>
        </w:rPr>
        <w:t>（含骑缝章）</w:t>
      </w:r>
      <w:r>
        <w:rPr>
          <w:rFonts w:ascii="宋体" w:hAnsi="宋体"/>
          <w:highlight w:val="none"/>
        </w:rPr>
        <w:t>。</w:t>
      </w:r>
    </w:p>
    <w:p>
      <w:pPr>
        <w:pStyle w:val="55"/>
        <w:numPr>
          <w:ilvl w:val="0"/>
          <w:numId w:val="12"/>
        </w:numPr>
        <w:rPr>
          <w:rFonts w:ascii="宋体" w:hAnsi="宋体"/>
          <w:highlight w:val="none"/>
        </w:rPr>
      </w:pPr>
      <w:r>
        <w:rPr>
          <w:rFonts w:hint="eastAsia" w:ascii="宋体" w:hAnsi="宋体"/>
          <w:highlight w:val="none"/>
        </w:rPr>
        <w:t>不按上述规定编写的投标文件将视为主动放弃，不予评标。</w:t>
      </w:r>
    </w:p>
    <w:p>
      <w:pPr>
        <w:pStyle w:val="57"/>
        <w:rPr>
          <w:rFonts w:ascii="宋体" w:hAnsi="宋体"/>
          <w:highlight w:val="none"/>
        </w:rPr>
      </w:pPr>
      <w:bookmarkStart w:id="34" w:name="_Toc234922354"/>
      <w:bookmarkStart w:id="35" w:name="_Toc264881859"/>
      <w:bookmarkStart w:id="36" w:name="_Toc6580"/>
      <w:bookmarkStart w:id="37" w:name="_Toc265850579"/>
      <w:r>
        <w:rPr>
          <w:rFonts w:hint="eastAsia" w:ascii="宋体" w:hAnsi="宋体"/>
          <w:highlight w:val="none"/>
        </w:rPr>
        <w:t>投标文件的装袋、密封和递交</w:t>
      </w:r>
      <w:bookmarkEnd w:id="34"/>
      <w:bookmarkEnd w:id="35"/>
      <w:bookmarkEnd w:id="36"/>
      <w:bookmarkEnd w:id="37"/>
    </w:p>
    <w:p>
      <w:pPr>
        <w:pStyle w:val="55"/>
        <w:numPr>
          <w:ilvl w:val="0"/>
          <w:numId w:val="13"/>
        </w:numPr>
        <w:rPr>
          <w:rFonts w:ascii="宋体" w:hAnsi="宋体"/>
          <w:highlight w:val="none"/>
        </w:rPr>
      </w:pPr>
      <w:r>
        <w:rPr>
          <w:rFonts w:ascii="宋体" w:hAnsi="宋体"/>
          <w:highlight w:val="none"/>
        </w:rPr>
        <w:t>投标文件正本</w:t>
      </w:r>
      <w:r>
        <w:rPr>
          <w:rFonts w:hint="eastAsia" w:ascii="宋体" w:hAnsi="宋体"/>
          <w:highlight w:val="none"/>
        </w:rPr>
        <w:t>1份</w:t>
      </w:r>
      <w:r>
        <w:rPr>
          <w:rFonts w:ascii="宋体" w:hAnsi="宋体"/>
          <w:highlight w:val="none"/>
        </w:rPr>
        <w:t>、副本</w:t>
      </w:r>
      <w:r>
        <w:rPr>
          <w:rFonts w:hint="eastAsia" w:ascii="宋体" w:hAnsi="宋体"/>
          <w:highlight w:val="none"/>
        </w:rPr>
        <w:t>4</w:t>
      </w:r>
      <w:r>
        <w:rPr>
          <w:rFonts w:ascii="宋体" w:hAnsi="宋体"/>
          <w:highlight w:val="none"/>
        </w:rPr>
        <w:t>份，</w:t>
      </w:r>
      <w:r>
        <w:rPr>
          <w:rFonts w:hint="eastAsia" w:ascii="宋体" w:hAnsi="宋体"/>
          <w:highlight w:val="none"/>
        </w:rPr>
        <w:t>并在封页正面右上角标明“正本”、“副本”字样，</w:t>
      </w:r>
      <w:r>
        <w:rPr>
          <w:rFonts w:ascii="宋体" w:hAnsi="宋体"/>
          <w:highlight w:val="none"/>
        </w:rPr>
        <w:t>保证正本与副本的内容一致。如果正本与副本内容不一致以正本为准</w:t>
      </w:r>
      <w:r>
        <w:rPr>
          <w:rFonts w:hint="eastAsia" w:ascii="宋体" w:hAnsi="宋体"/>
          <w:highlight w:val="none"/>
        </w:rPr>
        <w:t>。</w:t>
      </w:r>
    </w:p>
    <w:p>
      <w:pPr>
        <w:pStyle w:val="55"/>
        <w:ind w:leftChars="200" w:firstLine="0"/>
        <w:rPr>
          <w:rFonts w:ascii="宋体" w:hAnsi="宋体"/>
          <w:highlight w:val="none"/>
        </w:rPr>
      </w:pPr>
      <w:r>
        <w:rPr>
          <w:rFonts w:hint="eastAsia" w:ascii="宋体" w:hAnsi="宋体"/>
          <w:highlight w:val="none"/>
        </w:rPr>
        <w:t>正面封皮应标明投标人</w:t>
      </w:r>
      <w:r>
        <w:rPr>
          <w:rFonts w:ascii="宋体" w:hAnsi="宋体"/>
          <w:highlight w:val="none"/>
        </w:rPr>
        <w:t>单位名称</w:t>
      </w:r>
      <w:r>
        <w:rPr>
          <w:rFonts w:hint="eastAsia" w:ascii="宋体" w:hAnsi="宋体"/>
          <w:highlight w:val="none"/>
        </w:rPr>
        <w:t>、地址</w:t>
      </w:r>
      <w:r>
        <w:rPr>
          <w:rFonts w:ascii="宋体" w:hAnsi="宋体"/>
          <w:highlight w:val="none"/>
        </w:rPr>
        <w:t>，</w:t>
      </w:r>
      <w:r>
        <w:rPr>
          <w:rFonts w:hint="eastAsia" w:ascii="宋体" w:hAnsi="宋体"/>
          <w:highlight w:val="none"/>
        </w:rPr>
        <w:t>并在单位名称处加盖公章。</w:t>
      </w:r>
    </w:p>
    <w:p>
      <w:pPr>
        <w:pStyle w:val="55"/>
        <w:ind w:leftChars="200" w:firstLine="0"/>
        <w:rPr>
          <w:rFonts w:ascii="宋体" w:hAnsi="宋体"/>
          <w:highlight w:val="none"/>
        </w:rPr>
      </w:pPr>
      <w:r>
        <w:rPr>
          <w:rFonts w:hint="eastAsia" w:ascii="宋体" w:hAnsi="宋体"/>
          <w:highlight w:val="none"/>
        </w:rPr>
        <w:t>投标书正本内封和投标书副本内封封口处</w:t>
      </w:r>
      <w:r>
        <w:rPr>
          <w:rFonts w:ascii="宋体" w:hAnsi="宋体"/>
          <w:highlight w:val="none"/>
        </w:rPr>
        <w:t>应</w:t>
      </w:r>
      <w:r>
        <w:rPr>
          <w:rFonts w:hint="eastAsia" w:ascii="宋体" w:hAnsi="宋体"/>
          <w:highlight w:val="none"/>
        </w:rPr>
        <w:t>应有投标全权代表的签字或</w:t>
      </w:r>
      <w:r>
        <w:rPr>
          <w:rFonts w:ascii="宋体" w:hAnsi="宋体"/>
          <w:highlight w:val="none"/>
        </w:rPr>
        <w:t>投标单位公章</w:t>
      </w:r>
      <w:r>
        <w:rPr>
          <w:rFonts w:hint="eastAsia" w:ascii="宋体" w:hAnsi="宋体"/>
          <w:highlight w:val="none"/>
        </w:rPr>
        <w:t>，并注明“开标时启封”字样。</w:t>
      </w:r>
    </w:p>
    <w:p>
      <w:pPr>
        <w:pStyle w:val="55"/>
        <w:ind w:leftChars="200" w:firstLine="0"/>
        <w:rPr>
          <w:rFonts w:ascii="宋体" w:hAnsi="宋体"/>
          <w:highlight w:val="none"/>
        </w:rPr>
      </w:pPr>
      <w:r>
        <w:rPr>
          <w:rFonts w:hint="eastAsia" w:ascii="宋体" w:hAnsi="宋体"/>
          <w:highlight w:val="none"/>
        </w:rPr>
        <w:t>投标文件正本要求投标单位法人代表或授权代表逐页签字并加盖公章（包括宣传彩页，但空白页除外），每有一处改动，均需同一人在改动处签字并加盖公章。</w:t>
      </w:r>
    </w:p>
    <w:p>
      <w:pPr>
        <w:pStyle w:val="55"/>
        <w:ind w:leftChars="200" w:firstLine="0"/>
        <w:rPr>
          <w:rFonts w:ascii="宋体" w:hAnsi="宋体"/>
          <w:highlight w:val="none"/>
        </w:rPr>
      </w:pPr>
      <w:r>
        <w:rPr>
          <w:rFonts w:hint="eastAsia" w:ascii="宋体" w:hAnsi="宋体"/>
          <w:highlight w:val="none"/>
        </w:rPr>
        <w:t>投标文件不允许采用滑环穿孔式装订（为方便中标单位标书将来与合同合并装订），不按要求装订的投标文件将被退回。</w:t>
      </w:r>
    </w:p>
    <w:p>
      <w:pPr>
        <w:pStyle w:val="55"/>
        <w:ind w:leftChars="200" w:firstLine="0"/>
        <w:rPr>
          <w:rFonts w:ascii="宋体" w:hAnsi="宋体"/>
          <w:highlight w:val="none"/>
        </w:rPr>
      </w:pPr>
      <w:r>
        <w:rPr>
          <w:rFonts w:hint="eastAsia" w:ascii="宋体" w:hAnsi="宋体"/>
          <w:highlight w:val="none"/>
        </w:rPr>
        <w:t>不按要求密封的或在投标截止时间以后送达的投标文件概不接收。</w:t>
      </w:r>
    </w:p>
    <w:p>
      <w:pPr>
        <w:pStyle w:val="55"/>
        <w:ind w:leftChars="200" w:firstLine="0"/>
        <w:rPr>
          <w:rFonts w:ascii="宋体" w:hAnsi="宋体"/>
          <w:highlight w:val="none"/>
        </w:rPr>
      </w:pPr>
      <w:r>
        <w:rPr>
          <w:rFonts w:hint="eastAsia" w:ascii="宋体" w:hAnsi="宋体"/>
          <w:highlight w:val="none"/>
        </w:rPr>
        <w:t>投标文件由投标人在开标当日自行带到开标现场，在开标时当场交与招标人负责人。</w:t>
      </w:r>
    </w:p>
    <w:p>
      <w:pPr>
        <w:pStyle w:val="57"/>
        <w:rPr>
          <w:rFonts w:ascii="宋体" w:hAnsi="宋体"/>
          <w:highlight w:val="none"/>
        </w:rPr>
      </w:pPr>
      <w:bookmarkStart w:id="38" w:name="_Toc31529"/>
      <w:r>
        <w:rPr>
          <w:rFonts w:hint="eastAsia" w:ascii="宋体" w:hAnsi="宋体"/>
          <w:highlight w:val="none"/>
        </w:rPr>
        <w:t>投标文件的澄清</w:t>
      </w:r>
      <w:bookmarkEnd w:id="38"/>
    </w:p>
    <w:p>
      <w:pPr>
        <w:pStyle w:val="55"/>
        <w:numPr>
          <w:ilvl w:val="0"/>
          <w:numId w:val="14"/>
        </w:numPr>
        <w:rPr>
          <w:rFonts w:ascii="宋体" w:hAnsi="宋体"/>
          <w:highlight w:val="none"/>
        </w:rPr>
      </w:pPr>
      <w:r>
        <w:rPr>
          <w:rFonts w:hint="eastAsia" w:ascii="宋体" w:hAnsi="宋体"/>
          <w:highlight w:val="none"/>
        </w:rPr>
        <w:t>为有助于对投标文件进行审查、综合评定，招标人有权向投标人提出质疑，请其澄清投标内容。</w:t>
      </w:r>
    </w:p>
    <w:p>
      <w:pPr>
        <w:pStyle w:val="55"/>
        <w:ind w:left="420" w:firstLine="0"/>
        <w:rPr>
          <w:rFonts w:ascii="宋体" w:hAnsi="宋体"/>
          <w:highlight w:val="none"/>
        </w:rPr>
      </w:pPr>
      <w:r>
        <w:rPr>
          <w:rFonts w:hint="eastAsia" w:ascii="宋体" w:hAnsi="宋体"/>
          <w:highlight w:val="none"/>
        </w:rPr>
        <w:t>重要的澄清答复应是书面的，并作为投标文件的一部分，但不得对投标内容作实质性修改。</w:t>
      </w:r>
    </w:p>
    <w:p>
      <w:pPr>
        <w:pStyle w:val="57"/>
        <w:rPr>
          <w:rFonts w:ascii="宋体" w:hAnsi="宋体"/>
          <w:highlight w:val="none"/>
        </w:rPr>
      </w:pPr>
      <w:bookmarkStart w:id="39" w:name="_Toc25053"/>
      <w:r>
        <w:rPr>
          <w:rFonts w:hint="eastAsia" w:ascii="宋体" w:hAnsi="宋体"/>
          <w:highlight w:val="none"/>
        </w:rPr>
        <w:t>废标条件</w:t>
      </w:r>
      <w:bookmarkEnd w:id="39"/>
    </w:p>
    <w:p>
      <w:pPr>
        <w:pStyle w:val="39"/>
        <w:ind w:firstLine="480"/>
        <w:rPr>
          <w:rFonts w:ascii="宋体" w:hAnsi="宋体"/>
          <w:highlight w:val="none"/>
        </w:rPr>
      </w:pPr>
      <w:r>
        <w:rPr>
          <w:rFonts w:hint="eastAsia" w:ascii="宋体" w:hAnsi="宋体"/>
          <w:highlight w:val="none"/>
        </w:rPr>
        <w:t>对未按</w:t>
      </w:r>
      <w:r>
        <w:rPr>
          <w:rFonts w:hint="eastAsia" w:ascii="宋体" w:hAnsi="宋体"/>
          <w:b/>
          <w:color w:val="000000"/>
          <w:highlight w:val="none"/>
        </w:rPr>
        <w:t>上述4.1条至4.5条</w:t>
      </w:r>
      <w:r>
        <w:rPr>
          <w:rFonts w:hint="eastAsia" w:ascii="宋体" w:hAnsi="宋体"/>
          <w:color w:val="000000"/>
          <w:highlight w:val="none"/>
        </w:rPr>
        <w:t>要求的</w:t>
      </w:r>
      <w:r>
        <w:rPr>
          <w:rFonts w:hint="eastAsia" w:ascii="宋体" w:hAnsi="宋体"/>
          <w:highlight w:val="none"/>
        </w:rPr>
        <w:t>，招标人将视为废标，并不予评标。</w:t>
      </w:r>
    </w:p>
    <w:p>
      <w:pPr>
        <w:pStyle w:val="57"/>
        <w:rPr>
          <w:rFonts w:ascii="宋体" w:hAnsi="宋体"/>
          <w:highlight w:val="none"/>
        </w:rPr>
      </w:pPr>
      <w:bookmarkStart w:id="40" w:name="_Toc16955"/>
      <w:r>
        <w:rPr>
          <w:rFonts w:hint="eastAsia" w:ascii="宋体" w:hAnsi="宋体"/>
          <w:highlight w:val="none"/>
        </w:rPr>
        <w:t>开标</w:t>
      </w:r>
      <w:bookmarkEnd w:id="40"/>
    </w:p>
    <w:p>
      <w:pPr>
        <w:numPr>
          <w:ilvl w:val="0"/>
          <w:numId w:val="15"/>
        </w:numPr>
        <w:spacing w:line="360" w:lineRule="auto"/>
        <w:ind w:left="845" w:leftChars="200"/>
        <w:rPr>
          <w:rFonts w:ascii="宋体" w:hAnsi="宋体"/>
          <w:sz w:val="24"/>
          <w:highlight w:val="none"/>
        </w:rPr>
      </w:pPr>
      <w:r>
        <w:rPr>
          <w:rFonts w:hint="eastAsia" w:ascii="宋体" w:hAnsi="宋体"/>
          <w:sz w:val="24"/>
          <w:highlight w:val="none"/>
        </w:rPr>
        <w:t>招标人按招标文件规定的时间、地点公开开标。</w:t>
      </w:r>
    </w:p>
    <w:p>
      <w:pPr>
        <w:numPr>
          <w:ilvl w:val="0"/>
          <w:numId w:val="15"/>
        </w:numPr>
        <w:spacing w:line="360" w:lineRule="auto"/>
        <w:ind w:left="845" w:leftChars="200"/>
        <w:rPr>
          <w:rFonts w:ascii="宋体" w:hAnsi="宋体"/>
          <w:sz w:val="24"/>
          <w:highlight w:val="none"/>
        </w:rPr>
      </w:pPr>
      <w:r>
        <w:rPr>
          <w:rFonts w:hint="eastAsia" w:ascii="宋体" w:hAnsi="宋体"/>
          <w:sz w:val="24"/>
          <w:highlight w:val="none"/>
        </w:rPr>
        <w:t>开标仪式由招标人主持，投标人的法定代表人或授权代理人应携带法定代表人身份证明或授权委托书和本人的身份证的原件与复印件各1份（标书之外单独提交）准时到场，并在签到表上签名以证明其出席开标会议。上述身份证及授权委托书在开标前验证。</w:t>
      </w:r>
    </w:p>
    <w:p>
      <w:pPr>
        <w:numPr>
          <w:ilvl w:val="0"/>
          <w:numId w:val="15"/>
        </w:numPr>
        <w:spacing w:line="360" w:lineRule="auto"/>
        <w:ind w:left="845" w:leftChars="200"/>
        <w:rPr>
          <w:rFonts w:ascii="宋体" w:hAnsi="宋体"/>
          <w:sz w:val="24"/>
          <w:highlight w:val="none"/>
        </w:rPr>
      </w:pPr>
      <w:r>
        <w:rPr>
          <w:rFonts w:hint="eastAsia" w:ascii="宋体" w:hAnsi="宋体"/>
          <w:sz w:val="24"/>
          <w:highlight w:val="none"/>
        </w:rPr>
        <w:t>开标时查验投标文件密封情况，确认无误后拆封唱标。</w:t>
      </w:r>
    </w:p>
    <w:p>
      <w:pPr>
        <w:numPr>
          <w:ilvl w:val="0"/>
          <w:numId w:val="15"/>
        </w:numPr>
        <w:spacing w:line="360" w:lineRule="auto"/>
        <w:ind w:left="845" w:leftChars="200"/>
        <w:rPr>
          <w:rFonts w:ascii="宋体" w:hAnsi="宋体"/>
          <w:sz w:val="24"/>
          <w:highlight w:val="none"/>
        </w:rPr>
      </w:pPr>
      <w:r>
        <w:rPr>
          <w:rFonts w:hint="eastAsia" w:ascii="宋体" w:hAnsi="宋体"/>
          <w:sz w:val="24"/>
          <w:highlight w:val="none"/>
        </w:rPr>
        <w:t>招标人在开标仪式上将公布投标人的名称、投标方案、投标价格等，并对唱标内容进行记录。</w:t>
      </w:r>
    </w:p>
    <w:p>
      <w:pPr>
        <w:pStyle w:val="57"/>
        <w:rPr>
          <w:rFonts w:ascii="宋体" w:hAnsi="宋体"/>
          <w:highlight w:val="none"/>
        </w:rPr>
      </w:pPr>
      <w:bookmarkStart w:id="41" w:name="_Toc673"/>
      <w:r>
        <w:rPr>
          <w:rFonts w:hint="eastAsia" w:ascii="宋体" w:hAnsi="宋体"/>
          <w:highlight w:val="none"/>
        </w:rPr>
        <w:t>评标</w:t>
      </w:r>
      <w:bookmarkEnd w:id="41"/>
    </w:p>
    <w:p>
      <w:pPr>
        <w:numPr>
          <w:ilvl w:val="0"/>
          <w:numId w:val="16"/>
        </w:numPr>
        <w:spacing w:line="360" w:lineRule="auto"/>
        <w:ind w:left="845" w:leftChars="200"/>
        <w:rPr>
          <w:rFonts w:ascii="宋体" w:hAnsi="宋体"/>
          <w:sz w:val="24"/>
          <w:highlight w:val="none"/>
        </w:rPr>
      </w:pPr>
      <w:bookmarkStart w:id="42" w:name="_Toc234922356"/>
      <w:bookmarkStart w:id="43" w:name="_Toc265850581"/>
      <w:bookmarkStart w:id="44" w:name="_Toc264881861"/>
      <w:r>
        <w:rPr>
          <w:rFonts w:hint="eastAsia" w:ascii="宋体" w:hAnsi="宋体"/>
          <w:sz w:val="24"/>
          <w:highlight w:val="none"/>
        </w:rPr>
        <w:t>招标人依法组织评标委员会，评标委员会由技术和经济专家、招标人代表等组成。评标委员会负责对投标文件进行评审，推荐中标候选人。</w:t>
      </w:r>
    </w:p>
    <w:p>
      <w:pPr>
        <w:numPr>
          <w:ilvl w:val="0"/>
          <w:numId w:val="16"/>
        </w:numPr>
        <w:spacing w:line="360" w:lineRule="auto"/>
        <w:ind w:left="845" w:leftChars="200"/>
        <w:rPr>
          <w:rFonts w:ascii="宋体" w:hAnsi="宋体"/>
          <w:sz w:val="24"/>
          <w:highlight w:val="none"/>
        </w:rPr>
      </w:pPr>
      <w:r>
        <w:rPr>
          <w:rFonts w:hint="eastAsia" w:ascii="宋体" w:hAnsi="宋体"/>
          <w:sz w:val="24"/>
          <w:highlight w:val="none"/>
        </w:rPr>
        <w:t>投标人未按时参加有关会议，将承担其投标文件不被评审的风险。</w:t>
      </w:r>
    </w:p>
    <w:p>
      <w:pPr>
        <w:numPr>
          <w:ilvl w:val="0"/>
          <w:numId w:val="16"/>
        </w:numPr>
        <w:spacing w:line="360" w:lineRule="auto"/>
        <w:ind w:left="845" w:leftChars="200"/>
        <w:rPr>
          <w:rFonts w:ascii="宋体" w:hAnsi="宋体"/>
          <w:sz w:val="24"/>
          <w:highlight w:val="none"/>
        </w:rPr>
      </w:pPr>
      <w:r>
        <w:rPr>
          <w:rFonts w:hint="eastAsia" w:ascii="宋体" w:hAnsi="宋体"/>
          <w:sz w:val="24"/>
          <w:highlight w:val="none"/>
        </w:rPr>
        <w:t>评标工作遵循国家有关法律法规进行，切实保护</w:t>
      </w:r>
      <w:r>
        <w:rPr>
          <w:rFonts w:hint="eastAsia" w:ascii="宋体" w:hAnsi="宋体"/>
          <w:sz w:val="24"/>
          <w:highlight w:val="none"/>
          <w:lang w:eastAsia="zh-CN"/>
        </w:rPr>
        <w:t>招标</w:t>
      </w:r>
      <w:r>
        <w:rPr>
          <w:rFonts w:hint="eastAsia" w:ascii="宋体" w:hAnsi="宋体"/>
          <w:sz w:val="24"/>
          <w:highlight w:val="none"/>
        </w:rPr>
        <w:t>人的合法利益，客观、公平、公正地对待所有投标人。</w:t>
      </w:r>
    </w:p>
    <w:p>
      <w:pPr>
        <w:numPr>
          <w:ilvl w:val="0"/>
          <w:numId w:val="16"/>
        </w:numPr>
        <w:spacing w:line="360" w:lineRule="auto"/>
        <w:ind w:left="845" w:leftChars="200"/>
        <w:rPr>
          <w:rFonts w:ascii="宋体" w:hAnsi="宋体"/>
          <w:sz w:val="24"/>
          <w:highlight w:val="none"/>
        </w:rPr>
      </w:pPr>
      <w:r>
        <w:rPr>
          <w:rFonts w:hint="eastAsia" w:ascii="宋体" w:hAnsi="宋体"/>
          <w:sz w:val="24"/>
          <w:highlight w:val="none"/>
        </w:rPr>
        <w:t>招标文件和投标文件作为评标的基本依据。对投标的判定只依据投标文件内容，开标后的任何外来证明均不予考虑。</w:t>
      </w:r>
    </w:p>
    <w:p>
      <w:pPr>
        <w:numPr>
          <w:ilvl w:val="0"/>
          <w:numId w:val="16"/>
        </w:numPr>
        <w:spacing w:line="360" w:lineRule="auto"/>
        <w:ind w:left="845" w:leftChars="200"/>
        <w:rPr>
          <w:rFonts w:ascii="宋体" w:hAnsi="宋体"/>
          <w:sz w:val="24"/>
          <w:highlight w:val="none"/>
        </w:rPr>
      </w:pPr>
      <w:r>
        <w:rPr>
          <w:rFonts w:hint="eastAsia" w:ascii="宋体" w:hAnsi="宋体"/>
          <w:sz w:val="24"/>
          <w:highlight w:val="none"/>
        </w:rPr>
        <w:t xml:space="preserve">符合性检查包括： </w:t>
      </w:r>
    </w:p>
    <w:p>
      <w:pPr>
        <w:numPr>
          <w:ilvl w:val="0"/>
          <w:numId w:val="17"/>
        </w:numPr>
        <w:spacing w:line="360" w:lineRule="auto"/>
        <w:ind w:left="1265" w:leftChars="400"/>
        <w:rPr>
          <w:rFonts w:ascii="宋体" w:hAnsi="宋体"/>
          <w:sz w:val="24"/>
          <w:highlight w:val="none"/>
        </w:rPr>
      </w:pPr>
      <w:r>
        <w:rPr>
          <w:rFonts w:hint="eastAsia" w:ascii="宋体" w:hAnsi="宋体"/>
          <w:sz w:val="24"/>
          <w:highlight w:val="none"/>
        </w:rPr>
        <w:t>内容是否完整，是否符合招标文件的要求。对密封、签名、公章未按规定办理、或目录和内容未满足招标文件要求的投标文件，将视为无效投标。</w:t>
      </w:r>
    </w:p>
    <w:p>
      <w:pPr>
        <w:numPr>
          <w:ilvl w:val="0"/>
          <w:numId w:val="17"/>
        </w:numPr>
        <w:spacing w:line="360" w:lineRule="auto"/>
        <w:ind w:left="1265" w:leftChars="400"/>
        <w:rPr>
          <w:rFonts w:ascii="宋体" w:hAnsi="宋体"/>
          <w:sz w:val="24"/>
          <w:highlight w:val="none"/>
        </w:rPr>
      </w:pPr>
      <w:r>
        <w:rPr>
          <w:rFonts w:hint="eastAsia" w:ascii="宋体" w:hAnsi="宋体"/>
          <w:sz w:val="24"/>
          <w:highlight w:val="none"/>
        </w:rPr>
        <w:t>与招标文件有重大偏离的投标文件将被拒绝。重大偏离系指投标货物的质量、数量及交货期明显不能满足招标文件的要求（如带“*”号的条款不能满足）。这些偏离不允许在开标后修正。但招标人将允许修改投标中不构成重大偏离的、微小的、非正规的、不细致或不规则的地方，如明显的文字和计算错误等。</w:t>
      </w:r>
    </w:p>
    <w:p>
      <w:pPr>
        <w:spacing w:line="360" w:lineRule="auto"/>
        <w:ind w:left="420" w:leftChars="200" w:firstLine="360" w:firstLineChars="150"/>
        <w:rPr>
          <w:rFonts w:ascii="宋体" w:hAnsi="宋体"/>
          <w:sz w:val="24"/>
          <w:highlight w:val="none"/>
        </w:rPr>
      </w:pPr>
      <w:r>
        <w:rPr>
          <w:rFonts w:hint="eastAsia" w:ascii="宋体" w:hAnsi="宋体"/>
          <w:sz w:val="24"/>
          <w:highlight w:val="none"/>
        </w:rPr>
        <w:t>在通过符合性检查的前提下，投标人要参加评标委员会组织的现场质询。评标委员会将对投标的方案、报价、信誉、公司资质及服务和其它商务评价标准的量化结果进行加权，计算出每一投标的综合评估分。</w:t>
      </w:r>
    </w:p>
    <w:p>
      <w:pPr>
        <w:spacing w:line="360" w:lineRule="auto"/>
        <w:ind w:left="420" w:leftChars="200" w:firstLine="360" w:firstLineChars="150"/>
        <w:rPr>
          <w:rFonts w:ascii="宋体" w:hAnsi="宋体"/>
          <w:sz w:val="24"/>
          <w:highlight w:val="none"/>
        </w:rPr>
      </w:pPr>
      <w:r>
        <w:rPr>
          <w:rFonts w:hint="eastAsia" w:ascii="宋体" w:hAnsi="宋体"/>
          <w:sz w:val="24"/>
          <w:highlight w:val="none"/>
        </w:rPr>
        <w:t>综合评标总分100分，其中价格40分、技术40分、服务与承诺10分、资质和案例10分。评审时对价格和技术进行分阶段评审，在技术、资质、服务等项目评审结束前暂不向评委公布投标人的报价和得分。</w:t>
      </w:r>
    </w:p>
    <w:p>
      <w:pPr>
        <w:numPr>
          <w:ilvl w:val="0"/>
          <w:numId w:val="18"/>
        </w:numPr>
        <w:spacing w:line="360" w:lineRule="auto"/>
        <w:ind w:left="1265" w:leftChars="400"/>
        <w:rPr>
          <w:rFonts w:ascii="宋体" w:hAnsi="宋体"/>
          <w:sz w:val="24"/>
          <w:highlight w:val="none"/>
        </w:rPr>
      </w:pPr>
      <w:r>
        <w:rPr>
          <w:rFonts w:hint="eastAsia" w:ascii="宋体" w:hAnsi="宋体"/>
          <w:sz w:val="24"/>
          <w:highlight w:val="none"/>
        </w:rPr>
        <w:t>招标报价得分=(招标基准价／响应人最终招标报价)×40。</w:t>
      </w:r>
    </w:p>
    <w:p>
      <w:pPr>
        <w:numPr>
          <w:ilvl w:val="0"/>
          <w:numId w:val="18"/>
        </w:numPr>
        <w:spacing w:line="360" w:lineRule="auto"/>
        <w:ind w:left="1265" w:leftChars="400"/>
        <w:rPr>
          <w:rFonts w:ascii="宋体" w:hAnsi="宋体"/>
          <w:sz w:val="24"/>
          <w:highlight w:val="none"/>
        </w:rPr>
      </w:pPr>
      <w:r>
        <w:rPr>
          <w:rFonts w:hint="eastAsia" w:ascii="宋体" w:hAnsi="宋体"/>
          <w:sz w:val="24"/>
          <w:highlight w:val="none"/>
        </w:rPr>
        <w:t>技术满分为40分，依据项目技术要求，其中技术指标满分35分，符合招标文件技术要求的为30分，高于或低于招标文件要求的，由专家自行打分，但要说明具体技术条款及招标文件和投标文件相应的指标值，低于20分的要附详细评审意见；总体综合性能评价5分，由专家自行打分，低于3分的要说明理由。</w:t>
      </w:r>
    </w:p>
    <w:p>
      <w:pPr>
        <w:numPr>
          <w:ilvl w:val="0"/>
          <w:numId w:val="18"/>
        </w:numPr>
        <w:spacing w:line="360" w:lineRule="auto"/>
        <w:ind w:left="1265" w:leftChars="400"/>
        <w:rPr>
          <w:rFonts w:ascii="宋体" w:hAnsi="宋体"/>
          <w:sz w:val="24"/>
          <w:highlight w:val="none"/>
        </w:rPr>
      </w:pPr>
      <w:r>
        <w:rPr>
          <w:rFonts w:hint="eastAsia" w:ascii="宋体" w:hAnsi="宋体"/>
          <w:sz w:val="24"/>
          <w:highlight w:val="none"/>
        </w:rPr>
        <w:t>服务与承诺10分，其中后续承诺服务为6分，满足招标文件要求的为4分，高于或低于招标文件要求的，由专家自行打分；活动重点及难点分析为4分，由专家自行打分，低于2分的要说明理由。</w:t>
      </w:r>
    </w:p>
    <w:p>
      <w:pPr>
        <w:numPr>
          <w:ilvl w:val="0"/>
          <w:numId w:val="18"/>
        </w:numPr>
        <w:spacing w:line="360" w:lineRule="auto"/>
        <w:ind w:left="1265" w:leftChars="400"/>
        <w:rPr>
          <w:rFonts w:ascii="宋体" w:hAnsi="宋体"/>
          <w:sz w:val="24"/>
          <w:highlight w:val="none"/>
        </w:rPr>
      </w:pPr>
      <w:r>
        <w:rPr>
          <w:rFonts w:hint="eastAsia" w:ascii="宋体" w:hAnsi="宋体"/>
          <w:sz w:val="24"/>
          <w:highlight w:val="none"/>
        </w:rPr>
        <w:t>资质和案例为10分，由专家自行打分，低于5分的要说明理由。</w:t>
      </w:r>
    </w:p>
    <w:p>
      <w:pPr>
        <w:numPr>
          <w:ilvl w:val="0"/>
          <w:numId w:val="18"/>
        </w:numPr>
        <w:spacing w:line="360" w:lineRule="auto"/>
        <w:ind w:left="1265" w:leftChars="400"/>
        <w:rPr>
          <w:rFonts w:ascii="宋体" w:hAnsi="宋体"/>
          <w:sz w:val="24"/>
          <w:highlight w:val="none"/>
        </w:rPr>
      </w:pPr>
      <w:r>
        <w:rPr>
          <w:rFonts w:hint="eastAsia" w:ascii="宋体" w:hAnsi="宋体"/>
          <w:sz w:val="24"/>
          <w:highlight w:val="none"/>
        </w:rPr>
        <w:t xml:space="preserve">详细评审标准请见 </w:t>
      </w:r>
      <w:r>
        <w:rPr>
          <w:rFonts w:hint="eastAsia" w:ascii="宋体" w:hAnsi="宋体"/>
          <w:b/>
          <w:bCs/>
          <w:sz w:val="24"/>
          <w:highlight w:val="none"/>
        </w:rPr>
        <w:t>“7评审标准”</w:t>
      </w:r>
      <w:r>
        <w:rPr>
          <w:rFonts w:hint="eastAsia" w:ascii="宋体" w:hAnsi="宋体"/>
          <w:b/>
          <w:bCs/>
          <w:sz w:val="24"/>
          <w:highlight w:val="none"/>
          <w:lang w:val="en-US" w:eastAsia="zh-CN"/>
        </w:rPr>
        <w:t>。</w:t>
      </w:r>
    </w:p>
    <w:bookmarkEnd w:id="42"/>
    <w:bookmarkEnd w:id="43"/>
    <w:bookmarkEnd w:id="44"/>
    <w:p>
      <w:pPr>
        <w:pStyle w:val="57"/>
        <w:rPr>
          <w:rFonts w:ascii="宋体" w:hAnsi="宋体"/>
          <w:highlight w:val="none"/>
        </w:rPr>
      </w:pPr>
      <w:bookmarkStart w:id="45" w:name="_Toc31"/>
      <w:r>
        <w:rPr>
          <w:rFonts w:hint="eastAsia" w:ascii="宋体" w:hAnsi="宋体"/>
          <w:highlight w:val="none"/>
        </w:rPr>
        <w:t>评标结果公示</w:t>
      </w:r>
      <w:bookmarkEnd w:id="45"/>
    </w:p>
    <w:p>
      <w:pPr>
        <w:spacing w:line="360" w:lineRule="auto"/>
        <w:ind w:firstLine="420"/>
        <w:rPr>
          <w:rFonts w:ascii="宋体" w:hAnsi="宋体"/>
          <w:sz w:val="24"/>
          <w:highlight w:val="none"/>
        </w:rPr>
      </w:pPr>
      <w:bookmarkStart w:id="46" w:name="_Toc265850587"/>
      <w:r>
        <w:rPr>
          <w:rFonts w:hint="eastAsia" w:ascii="宋体" w:hAnsi="宋体"/>
          <w:sz w:val="24"/>
          <w:highlight w:val="none"/>
        </w:rPr>
        <w:t>评标结束后，招标单位将在清华大学网站（</w:t>
      </w:r>
      <w:r>
        <w:rPr>
          <w:rFonts w:hint="eastAsia"/>
          <w:highlight w:val="none"/>
        </w:rPr>
        <w:fldChar w:fldCharType="begin"/>
      </w:r>
      <w:r>
        <w:rPr>
          <w:highlight w:val="none"/>
        </w:rPr>
        <w:instrText xml:space="preserve"> HYPERLINK "http://www.tsinghua.edu.cn" </w:instrText>
      </w:r>
      <w:r>
        <w:rPr>
          <w:rFonts w:hint="eastAsia"/>
          <w:highlight w:val="none"/>
        </w:rPr>
        <w:fldChar w:fldCharType="separate"/>
      </w:r>
      <w:r>
        <w:rPr>
          <w:rFonts w:hint="eastAsia" w:ascii="宋体" w:hAnsi="宋体"/>
          <w:sz w:val="24"/>
          <w:highlight w:val="none"/>
        </w:rPr>
        <w:t>http://info.tsinghua.edu.cn</w:t>
      </w:r>
      <w:r>
        <w:rPr>
          <w:rFonts w:hint="eastAsia" w:ascii="宋体" w:hAnsi="宋体"/>
          <w:sz w:val="24"/>
          <w:highlight w:val="none"/>
        </w:rPr>
        <w:fldChar w:fldCharType="end"/>
      </w:r>
      <w:r>
        <w:rPr>
          <w:rFonts w:hint="eastAsia" w:ascii="宋体" w:hAnsi="宋体"/>
          <w:sz w:val="24"/>
          <w:highlight w:val="none"/>
        </w:rPr>
        <w:t>），</w:t>
      </w:r>
    </w:p>
    <w:p>
      <w:pPr>
        <w:spacing w:line="360" w:lineRule="auto"/>
        <w:rPr>
          <w:rFonts w:ascii="宋体" w:hAnsi="宋体"/>
          <w:sz w:val="24"/>
          <w:highlight w:val="none"/>
        </w:rPr>
      </w:pPr>
      <w:r>
        <w:rPr>
          <w:rFonts w:hint="eastAsia" w:ascii="宋体" w:hAnsi="宋体"/>
          <w:sz w:val="24"/>
          <w:highlight w:val="none"/>
        </w:rPr>
        <w:t>北京华信医院网站</w:t>
      </w:r>
      <w:r>
        <w:rPr>
          <w:highlight w:val="none"/>
        </w:rPr>
        <w:fldChar w:fldCharType="begin"/>
      </w:r>
      <w:r>
        <w:rPr>
          <w:highlight w:val="none"/>
        </w:rPr>
        <w:instrText xml:space="preserve"> HYPERLINK "http://www.tufh.com.cn" </w:instrText>
      </w:r>
      <w:r>
        <w:rPr>
          <w:highlight w:val="none"/>
        </w:rPr>
        <w:fldChar w:fldCharType="separate"/>
      </w:r>
      <w:r>
        <w:rPr>
          <w:rFonts w:ascii="宋体" w:hAnsi="宋体"/>
          <w:sz w:val="24"/>
          <w:highlight w:val="none"/>
        </w:rPr>
        <w:t>http://www.tufh.com.cn</w:t>
      </w:r>
      <w:r>
        <w:rPr>
          <w:rFonts w:ascii="宋体" w:hAnsi="宋体"/>
          <w:sz w:val="24"/>
          <w:highlight w:val="none"/>
        </w:rPr>
        <w:fldChar w:fldCharType="end"/>
      </w:r>
      <w:r>
        <w:rPr>
          <w:rFonts w:hint="eastAsia" w:ascii="宋体" w:hAnsi="宋体"/>
          <w:sz w:val="24"/>
          <w:highlight w:val="none"/>
        </w:rPr>
        <w:t xml:space="preserve"> 等网站上公示评标结果，公示期为3个工作日。若投标商对评标结果有异议，可在公示期内以投标商的名义向招标单位提出书面质疑。</w:t>
      </w:r>
    </w:p>
    <w:p>
      <w:pPr>
        <w:pStyle w:val="57"/>
        <w:rPr>
          <w:rFonts w:ascii="宋体" w:hAnsi="宋体"/>
          <w:highlight w:val="none"/>
        </w:rPr>
      </w:pPr>
      <w:bookmarkStart w:id="47" w:name="_Toc25085"/>
      <w:r>
        <w:rPr>
          <w:rFonts w:hint="eastAsia" w:ascii="宋体" w:hAnsi="宋体"/>
          <w:highlight w:val="none"/>
        </w:rPr>
        <w:t>中标通知书</w:t>
      </w:r>
      <w:bookmarkEnd w:id="47"/>
    </w:p>
    <w:p>
      <w:pPr>
        <w:numPr>
          <w:ilvl w:val="0"/>
          <w:numId w:val="19"/>
        </w:numPr>
        <w:spacing w:line="360" w:lineRule="auto"/>
        <w:ind w:left="845" w:leftChars="200"/>
        <w:rPr>
          <w:rFonts w:ascii="宋体" w:hAnsi="宋体"/>
          <w:sz w:val="24"/>
          <w:highlight w:val="none"/>
        </w:rPr>
      </w:pPr>
      <w:r>
        <w:rPr>
          <w:rFonts w:hint="eastAsia" w:ascii="宋体" w:hAnsi="宋体"/>
          <w:sz w:val="24"/>
          <w:highlight w:val="none"/>
        </w:rPr>
        <w:t>中标人确定后，招标单位将向中标人发出中标通知书。</w:t>
      </w:r>
    </w:p>
    <w:p>
      <w:pPr>
        <w:numPr>
          <w:ilvl w:val="0"/>
          <w:numId w:val="19"/>
        </w:numPr>
        <w:spacing w:line="360" w:lineRule="auto"/>
        <w:ind w:left="845" w:leftChars="200"/>
        <w:rPr>
          <w:rFonts w:ascii="宋体" w:hAnsi="宋体"/>
          <w:sz w:val="24"/>
          <w:highlight w:val="none"/>
        </w:rPr>
      </w:pPr>
      <w:r>
        <w:rPr>
          <w:rFonts w:hint="eastAsia" w:ascii="宋体" w:hAnsi="宋体"/>
          <w:sz w:val="24"/>
          <w:highlight w:val="none"/>
        </w:rPr>
        <w:t>中标通知书是签订合同的一个依据。</w:t>
      </w:r>
    </w:p>
    <w:p>
      <w:pPr>
        <w:pStyle w:val="57"/>
        <w:rPr>
          <w:rFonts w:ascii="宋体" w:hAnsi="宋体"/>
          <w:highlight w:val="none"/>
        </w:rPr>
      </w:pPr>
      <w:bookmarkStart w:id="48" w:name="_Toc10766"/>
      <w:r>
        <w:rPr>
          <w:rFonts w:hint="eastAsia" w:ascii="宋体" w:hAnsi="宋体"/>
          <w:highlight w:val="none"/>
        </w:rPr>
        <w:t>签订合同</w:t>
      </w:r>
      <w:bookmarkEnd w:id="48"/>
    </w:p>
    <w:p>
      <w:pPr>
        <w:numPr>
          <w:ilvl w:val="0"/>
          <w:numId w:val="20"/>
        </w:numPr>
        <w:spacing w:line="360" w:lineRule="auto"/>
        <w:ind w:left="845" w:leftChars="200"/>
        <w:rPr>
          <w:rFonts w:ascii="宋体" w:hAnsi="宋体"/>
          <w:sz w:val="24"/>
          <w:highlight w:val="none"/>
        </w:rPr>
      </w:pPr>
      <w:r>
        <w:rPr>
          <w:rFonts w:hint="eastAsia" w:ascii="宋体" w:hAnsi="宋体"/>
          <w:sz w:val="24"/>
          <w:highlight w:val="none"/>
        </w:rPr>
        <w:t>中标方应按《中标通知书》指定的时间、地点与招标单位签订合同。中标人拒不按中标内容签订合同的，招标人可取消其中标资格，并追究其违约责任。</w:t>
      </w:r>
    </w:p>
    <w:p>
      <w:pPr>
        <w:numPr>
          <w:ilvl w:val="0"/>
          <w:numId w:val="20"/>
        </w:numPr>
        <w:spacing w:line="360" w:lineRule="auto"/>
        <w:ind w:left="845" w:leftChars="200"/>
        <w:rPr>
          <w:rFonts w:ascii="宋体" w:hAnsi="宋体"/>
          <w:sz w:val="24"/>
          <w:highlight w:val="none"/>
        </w:rPr>
      </w:pPr>
      <w:r>
        <w:rPr>
          <w:rFonts w:hint="eastAsia" w:ascii="宋体" w:hAnsi="宋体"/>
          <w:sz w:val="24"/>
          <w:highlight w:val="none"/>
        </w:rPr>
        <w:t>“招标文件”、中标方的“投标文件”及其澄清文件等，均为签订合同的依据。</w:t>
      </w:r>
    </w:p>
    <w:p>
      <w:pPr>
        <w:numPr>
          <w:ilvl w:val="0"/>
          <w:numId w:val="20"/>
        </w:numPr>
        <w:spacing w:line="360" w:lineRule="auto"/>
        <w:ind w:left="845" w:leftChars="200"/>
        <w:rPr>
          <w:rFonts w:ascii="宋体" w:hAnsi="宋体"/>
          <w:sz w:val="24"/>
          <w:highlight w:val="none"/>
        </w:rPr>
      </w:pPr>
      <w:r>
        <w:rPr>
          <w:rFonts w:hint="eastAsia" w:ascii="宋体" w:hAnsi="宋体"/>
          <w:sz w:val="24"/>
          <w:highlight w:val="none"/>
        </w:rPr>
        <w:t>招标单位在授予合同时有权对技术规范书中规定的货物数量和服务予以增加或减少，但不得对单价或其它的条款和条件做任何改变。</w:t>
      </w:r>
    </w:p>
    <w:p>
      <w:pPr>
        <w:pStyle w:val="38"/>
        <w:rPr>
          <w:rFonts w:ascii="宋体" w:hAnsi="宋体"/>
          <w:highlight w:val="none"/>
        </w:rPr>
      </w:pPr>
      <w:bookmarkStart w:id="49" w:name="_Toc21197"/>
      <w:r>
        <w:rPr>
          <w:rFonts w:hint="eastAsia" w:ascii="宋体" w:hAnsi="宋体"/>
          <w:highlight w:val="none"/>
        </w:rPr>
        <w:t>项目技术要求</w:t>
      </w:r>
      <w:bookmarkEnd w:id="46"/>
      <w:bookmarkEnd w:id="49"/>
    </w:p>
    <w:p>
      <w:pPr>
        <w:pStyle w:val="57"/>
        <w:rPr>
          <w:rFonts w:ascii="宋体" w:hAnsi="宋体"/>
          <w:color w:val="000000"/>
          <w:highlight w:val="none"/>
        </w:rPr>
      </w:pPr>
      <w:bookmarkStart w:id="50" w:name="_Toc14311"/>
      <w:r>
        <w:rPr>
          <w:rFonts w:hint="eastAsia" w:ascii="宋体" w:hAnsi="宋体"/>
          <w:color w:val="000000"/>
          <w:highlight w:val="none"/>
        </w:rPr>
        <w:t>项目技术要求</w:t>
      </w:r>
      <w:bookmarkEnd w:id="50"/>
    </w:p>
    <w:p>
      <w:pPr>
        <w:pStyle w:val="39"/>
        <w:numPr>
          <w:ilvl w:val="0"/>
          <w:numId w:val="21"/>
        </w:numPr>
        <w:adjustRightInd w:val="0"/>
        <w:snapToGrid w:val="0"/>
        <w:ind w:firstLineChars="0"/>
        <w:rPr>
          <w:rFonts w:ascii="宋体" w:hAnsi="宋体"/>
          <w:highlight w:val="none"/>
        </w:rPr>
      </w:pPr>
      <w:r>
        <w:rPr>
          <w:rFonts w:hint="eastAsia" w:ascii="宋体" w:hAnsi="宋体"/>
          <w:highlight w:val="none"/>
        </w:rPr>
        <w:t>活动形式：要求组织执行</w:t>
      </w:r>
      <w:r>
        <w:rPr>
          <w:rFonts w:hint="eastAsia" w:ascii="宋体" w:hAnsi="宋体"/>
          <w:color w:val="000000"/>
          <w:highlight w:val="none"/>
        </w:rPr>
        <w:t>“</w:t>
      </w:r>
      <w:r>
        <w:rPr>
          <w:rFonts w:hint="eastAsia" w:ascii="宋体" w:hAnsi="宋体"/>
          <w:highlight w:val="none"/>
        </w:rPr>
        <w:t>薪传六十年，奋进新甲子</w:t>
      </w:r>
      <w:r>
        <w:rPr>
          <w:rFonts w:hint="eastAsia" w:ascii="宋体" w:hAnsi="宋体"/>
          <w:color w:val="000000"/>
          <w:highlight w:val="none"/>
        </w:rPr>
        <w:t>”北京华信医院建院60周年院庆活动，包括</w:t>
      </w:r>
      <w:r>
        <w:rPr>
          <w:rFonts w:hint="eastAsia" w:ascii="宋体" w:hAnsi="宋体"/>
          <w:highlight w:val="none"/>
        </w:rPr>
        <w:t>60周年LOGO设计、印刷设计、美陈包装、活动整体策划、执行等，见下表：</w:t>
      </w:r>
    </w:p>
    <w:tbl>
      <w:tblPr>
        <w:tblStyle w:val="37"/>
        <w:tblW w:w="10213" w:type="dxa"/>
        <w:jc w:val="center"/>
        <w:tblInd w:w="0" w:type="dxa"/>
        <w:tblLayout w:type="fixed"/>
        <w:tblCellMar>
          <w:top w:w="15" w:type="dxa"/>
          <w:left w:w="15" w:type="dxa"/>
          <w:bottom w:w="15" w:type="dxa"/>
          <w:right w:w="15" w:type="dxa"/>
        </w:tblCellMar>
      </w:tblPr>
      <w:tblGrid>
        <w:gridCol w:w="1992"/>
        <w:gridCol w:w="6341"/>
        <w:gridCol w:w="966"/>
        <w:gridCol w:w="914"/>
      </w:tblGrid>
      <w:tr>
        <w:tblPrEx>
          <w:tblLayout w:type="fixed"/>
          <w:tblCellMar>
            <w:top w:w="15" w:type="dxa"/>
            <w:left w:w="15" w:type="dxa"/>
            <w:bottom w:w="15" w:type="dxa"/>
            <w:right w:w="15" w:type="dxa"/>
          </w:tblCellMar>
        </w:tblPrEx>
        <w:trPr>
          <w:trHeight w:val="624" w:hRule="atLeast"/>
          <w:jc w:val="center"/>
        </w:trPr>
        <w:tc>
          <w:tcPr>
            <w:tcW w:w="102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highlight w:val="none"/>
              </w:rPr>
            </w:pPr>
            <w:r>
              <w:rPr>
                <w:rFonts w:hint="eastAsia" w:ascii="宋体" w:hAnsi="宋体" w:cs="宋体"/>
                <w:b/>
                <w:color w:val="000000"/>
                <w:kern w:val="0"/>
                <w:sz w:val="22"/>
                <w:highlight w:val="none"/>
                <w:lang w:bidi="ar"/>
              </w:rPr>
              <w:t>60周年院庆招标项目要求如下（具体项目内容可根据投标人方案调整补充）</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000000"/>
            <w:vAlign w:val="center"/>
          </w:tcPr>
          <w:p>
            <w:pPr>
              <w:widowControl/>
              <w:jc w:val="center"/>
              <w:textAlignment w:val="center"/>
              <w:rPr>
                <w:rFonts w:ascii="微软雅黑 Light" w:hAnsi="微软雅黑 Light" w:eastAsia="微软雅黑 Light" w:cs="微软雅黑 Light"/>
                <w:b/>
                <w:color w:val="FFFFFF"/>
                <w:sz w:val="20"/>
                <w:szCs w:val="20"/>
                <w:highlight w:val="none"/>
              </w:rPr>
            </w:pPr>
            <w:r>
              <w:rPr>
                <w:rFonts w:ascii="微软雅黑 Light" w:hAnsi="微软雅黑 Light" w:eastAsia="微软雅黑 Light" w:cs="微软雅黑 Light"/>
                <w:b/>
                <w:color w:val="FFFFFF"/>
                <w:kern w:val="0"/>
                <w:sz w:val="20"/>
                <w:szCs w:val="20"/>
                <w:highlight w:val="none"/>
                <w:lang w:bidi="ar"/>
              </w:rPr>
              <w:t>明细</w:t>
            </w:r>
          </w:p>
        </w:tc>
        <w:tc>
          <w:tcPr>
            <w:tcW w:w="6341" w:type="dxa"/>
            <w:tcBorders>
              <w:top w:val="single" w:color="000000" w:sz="4" w:space="0"/>
              <w:left w:val="single" w:color="000000" w:sz="4" w:space="0"/>
              <w:bottom w:val="single" w:color="000000" w:sz="4" w:space="0"/>
              <w:right w:val="single" w:color="000000" w:sz="4" w:space="0"/>
            </w:tcBorders>
            <w:shd w:val="clear" w:color="auto" w:fill="000000"/>
            <w:vAlign w:val="center"/>
          </w:tcPr>
          <w:p>
            <w:pPr>
              <w:widowControl/>
              <w:jc w:val="center"/>
              <w:textAlignment w:val="center"/>
              <w:rPr>
                <w:rFonts w:ascii="微软雅黑 Light" w:hAnsi="微软雅黑 Light" w:eastAsia="微软雅黑 Light" w:cs="微软雅黑 Light"/>
                <w:b/>
                <w:color w:val="FFFFFF"/>
                <w:sz w:val="20"/>
                <w:szCs w:val="20"/>
                <w:highlight w:val="none"/>
              </w:rPr>
            </w:pPr>
            <w:r>
              <w:rPr>
                <w:rFonts w:ascii="微软雅黑 Light" w:hAnsi="微软雅黑 Light" w:eastAsia="微软雅黑 Light" w:cs="微软雅黑 Light"/>
                <w:b/>
                <w:color w:val="FFFFFF"/>
                <w:kern w:val="0"/>
                <w:sz w:val="20"/>
                <w:szCs w:val="20"/>
                <w:highlight w:val="none"/>
                <w:lang w:bidi="ar"/>
              </w:rPr>
              <w:t>描述</w:t>
            </w:r>
          </w:p>
        </w:tc>
        <w:tc>
          <w:tcPr>
            <w:tcW w:w="966" w:type="dxa"/>
            <w:tcBorders>
              <w:top w:val="single" w:color="000000" w:sz="4" w:space="0"/>
              <w:left w:val="single" w:color="000000" w:sz="4" w:space="0"/>
              <w:bottom w:val="single" w:color="000000" w:sz="4" w:space="0"/>
              <w:right w:val="single" w:color="000000" w:sz="4" w:space="0"/>
            </w:tcBorders>
            <w:shd w:val="clear" w:color="auto" w:fill="000000"/>
            <w:vAlign w:val="center"/>
          </w:tcPr>
          <w:p>
            <w:pPr>
              <w:widowControl/>
              <w:jc w:val="center"/>
              <w:textAlignment w:val="center"/>
              <w:rPr>
                <w:rFonts w:ascii="微软雅黑 Light" w:hAnsi="微软雅黑 Light" w:eastAsia="微软雅黑 Light" w:cs="微软雅黑 Light"/>
                <w:b/>
                <w:color w:val="FFFFFF"/>
                <w:sz w:val="20"/>
                <w:szCs w:val="20"/>
                <w:highlight w:val="none"/>
              </w:rPr>
            </w:pPr>
            <w:r>
              <w:rPr>
                <w:rFonts w:ascii="微软雅黑 Light" w:hAnsi="微软雅黑 Light" w:eastAsia="微软雅黑 Light" w:cs="微软雅黑 Light"/>
                <w:b/>
                <w:color w:val="FFFFFF"/>
                <w:kern w:val="0"/>
                <w:sz w:val="20"/>
                <w:szCs w:val="20"/>
                <w:highlight w:val="none"/>
                <w:lang w:bidi="ar"/>
              </w:rPr>
              <w:t>数量</w:t>
            </w:r>
          </w:p>
        </w:tc>
        <w:tc>
          <w:tcPr>
            <w:tcW w:w="914" w:type="dxa"/>
            <w:tcBorders>
              <w:top w:val="single" w:color="000000" w:sz="4" w:space="0"/>
              <w:left w:val="single" w:color="000000" w:sz="4" w:space="0"/>
              <w:bottom w:val="single" w:color="000000" w:sz="4" w:space="0"/>
              <w:right w:val="single" w:color="000000" w:sz="4" w:space="0"/>
            </w:tcBorders>
            <w:shd w:val="clear" w:color="auto" w:fill="000000"/>
            <w:vAlign w:val="center"/>
          </w:tcPr>
          <w:p>
            <w:pPr>
              <w:widowControl/>
              <w:jc w:val="center"/>
              <w:textAlignment w:val="center"/>
              <w:rPr>
                <w:rFonts w:ascii="微软雅黑 Light" w:hAnsi="微软雅黑 Light" w:eastAsia="微软雅黑 Light" w:cs="微软雅黑 Light"/>
                <w:b/>
                <w:color w:val="FFFFFF"/>
                <w:sz w:val="20"/>
                <w:szCs w:val="20"/>
                <w:highlight w:val="none"/>
              </w:rPr>
            </w:pPr>
            <w:r>
              <w:rPr>
                <w:rFonts w:ascii="微软雅黑 Light" w:hAnsi="微软雅黑 Light" w:eastAsia="微软雅黑 Light" w:cs="微软雅黑 Light"/>
                <w:b/>
                <w:color w:val="FFFFFF"/>
                <w:kern w:val="0"/>
                <w:sz w:val="20"/>
                <w:szCs w:val="20"/>
                <w:highlight w:val="none"/>
                <w:lang w:bidi="ar"/>
              </w:rPr>
              <w:t>单位</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平面设计服务</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60周年LOGO设计，主视觉设计，舞台舞美设计及院内美陈展示设计（形象长廊、主题墙、装饰等）</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项</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院史册</w:t>
            </w:r>
            <w:r>
              <w:rPr>
                <w:rFonts w:ascii="微软雅黑 Light" w:hAnsi="微软雅黑 Light" w:eastAsia="微软雅黑 Light" w:cs="微软雅黑 Light"/>
                <w:color w:val="000000"/>
                <w:kern w:val="0"/>
                <w:sz w:val="20"/>
                <w:szCs w:val="20"/>
                <w:highlight w:val="none"/>
                <w:lang w:bidi="ar"/>
              </w:rPr>
              <w:br w:type="textWrapping"/>
            </w:r>
            <w:r>
              <w:rPr>
                <w:rFonts w:ascii="微软雅黑 Light" w:hAnsi="微软雅黑 Light" w:eastAsia="微软雅黑 Light" w:cs="微软雅黑 Light"/>
                <w:color w:val="000000"/>
                <w:kern w:val="0"/>
                <w:sz w:val="20"/>
                <w:szCs w:val="20"/>
                <w:highlight w:val="none"/>
                <w:lang w:bidi="ar"/>
              </w:rPr>
              <w:t>按预估5万字计算</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A4，封面250g铜版纸，内页157g铜版纸，锁线胶装，双面四色印刷</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3000.00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本</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宣传册</w:t>
            </w:r>
            <w:r>
              <w:rPr>
                <w:rFonts w:ascii="微软雅黑 Light" w:hAnsi="微软雅黑 Light" w:eastAsia="微软雅黑 Light" w:cs="微软雅黑 Light"/>
                <w:color w:val="000000"/>
                <w:kern w:val="0"/>
                <w:sz w:val="20"/>
                <w:szCs w:val="20"/>
                <w:highlight w:val="none"/>
                <w:lang w:bidi="ar"/>
              </w:rPr>
              <w:br w:type="textWrapping"/>
            </w:r>
            <w:r>
              <w:rPr>
                <w:rFonts w:ascii="微软雅黑 Light" w:hAnsi="微软雅黑 Light" w:eastAsia="微软雅黑 Light" w:cs="微软雅黑 Light"/>
                <w:color w:val="000000"/>
                <w:kern w:val="0"/>
                <w:sz w:val="20"/>
                <w:szCs w:val="20"/>
                <w:highlight w:val="none"/>
                <w:lang w:bidi="ar"/>
              </w:rPr>
              <w:t>按预估</w:t>
            </w:r>
            <w:r>
              <w:rPr>
                <w:rFonts w:hint="eastAsia" w:ascii="微软雅黑 Light" w:hAnsi="微软雅黑 Light" w:eastAsia="微软雅黑 Light" w:cs="微软雅黑 Light"/>
                <w:color w:val="000000"/>
                <w:kern w:val="0"/>
                <w:sz w:val="20"/>
                <w:szCs w:val="20"/>
                <w:highlight w:val="none"/>
                <w:lang w:bidi="ar"/>
              </w:rPr>
              <w:t>2</w:t>
            </w:r>
            <w:r>
              <w:rPr>
                <w:rFonts w:ascii="微软雅黑 Light" w:hAnsi="微软雅黑 Light" w:eastAsia="微软雅黑 Light" w:cs="微软雅黑 Light"/>
                <w:color w:val="000000"/>
                <w:kern w:val="0"/>
                <w:sz w:val="20"/>
                <w:szCs w:val="20"/>
                <w:highlight w:val="none"/>
                <w:lang w:bidi="ar"/>
              </w:rPr>
              <w:t>.</w:t>
            </w:r>
            <w:r>
              <w:rPr>
                <w:rFonts w:hint="eastAsia" w:ascii="微软雅黑 Light" w:hAnsi="微软雅黑 Light" w:eastAsia="微软雅黑 Light" w:cs="微软雅黑 Light"/>
                <w:color w:val="000000"/>
                <w:kern w:val="0"/>
                <w:sz w:val="20"/>
                <w:szCs w:val="20"/>
                <w:highlight w:val="none"/>
                <w:lang w:bidi="ar"/>
              </w:rPr>
              <w:t>0</w:t>
            </w:r>
            <w:r>
              <w:rPr>
                <w:rFonts w:ascii="微软雅黑 Light" w:hAnsi="微软雅黑 Light" w:eastAsia="微软雅黑 Light" w:cs="微软雅黑 Light"/>
                <w:color w:val="000000"/>
                <w:kern w:val="0"/>
                <w:sz w:val="20"/>
                <w:szCs w:val="20"/>
                <w:highlight w:val="none"/>
                <w:lang w:bidi="ar"/>
              </w:rPr>
              <w:t>万字计算</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A4，封面250g铜版纸，内页157g铜版纸，骑马订，双面四色印刷</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3000.00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本</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健康指南</w:t>
            </w:r>
            <w:r>
              <w:rPr>
                <w:rFonts w:ascii="微软雅黑 Light" w:hAnsi="微软雅黑 Light" w:eastAsia="微软雅黑 Light" w:cs="微软雅黑 Light"/>
                <w:color w:val="000000"/>
                <w:kern w:val="0"/>
                <w:sz w:val="20"/>
                <w:szCs w:val="20"/>
                <w:highlight w:val="none"/>
                <w:lang w:bidi="ar"/>
              </w:rPr>
              <w:br w:type="textWrapping"/>
            </w:r>
            <w:r>
              <w:rPr>
                <w:rFonts w:ascii="微软雅黑 Light" w:hAnsi="微软雅黑 Light" w:eastAsia="微软雅黑 Light" w:cs="微软雅黑 Light"/>
                <w:color w:val="000000"/>
                <w:kern w:val="0"/>
                <w:sz w:val="20"/>
                <w:szCs w:val="20"/>
                <w:highlight w:val="none"/>
                <w:lang w:bidi="ar"/>
              </w:rPr>
              <w:t>按预估</w:t>
            </w:r>
            <w:r>
              <w:rPr>
                <w:rFonts w:hint="eastAsia" w:ascii="微软雅黑 Light" w:hAnsi="微软雅黑 Light" w:eastAsia="微软雅黑 Light" w:cs="微软雅黑 Light"/>
                <w:color w:val="000000"/>
                <w:kern w:val="0"/>
                <w:sz w:val="20"/>
                <w:szCs w:val="20"/>
                <w:highlight w:val="none"/>
                <w:lang w:val="en-US" w:eastAsia="zh-CN" w:bidi="ar"/>
              </w:rPr>
              <w:t>6</w:t>
            </w:r>
            <w:r>
              <w:rPr>
                <w:rFonts w:ascii="微软雅黑 Light" w:hAnsi="微软雅黑 Light" w:eastAsia="微软雅黑 Light" w:cs="微软雅黑 Light"/>
                <w:color w:val="000000"/>
                <w:kern w:val="0"/>
                <w:sz w:val="20"/>
                <w:szCs w:val="20"/>
                <w:highlight w:val="none"/>
                <w:lang w:bidi="ar"/>
              </w:rPr>
              <w:t>万字计算</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210mm*142mm，封面250g铜版纸，内页157g铜版纸，骑马订，双面四色印刷</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3000.00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sz w:val="20"/>
                <w:szCs w:val="20"/>
                <w:highlight w:val="none"/>
              </w:rPr>
            </w:pPr>
            <w:r>
              <w:rPr>
                <w:rFonts w:ascii="微软雅黑 Light" w:hAnsi="微软雅黑 Light" w:eastAsia="微软雅黑 Light" w:cs="微软雅黑 Light"/>
                <w:color w:val="000000"/>
                <w:kern w:val="0"/>
                <w:sz w:val="20"/>
                <w:szCs w:val="20"/>
                <w:highlight w:val="none"/>
                <w:lang w:bidi="ar"/>
              </w:rPr>
              <w:t>本</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折页</w:t>
            </w:r>
            <w:r>
              <w:rPr>
                <w:rFonts w:hint="eastAsia" w:ascii="微软雅黑 Light" w:hAnsi="微软雅黑 Light" w:eastAsia="微软雅黑 Light" w:cs="微软雅黑 Light"/>
                <w:color w:val="000000"/>
                <w:kern w:val="0"/>
                <w:sz w:val="20"/>
                <w:szCs w:val="20"/>
                <w:highlight w:val="none"/>
                <w:lang w:bidi="ar"/>
              </w:rPr>
              <w:t xml:space="preserve"> 5千字</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210mm*100mm，四折五页，250g铜版纸，压线覆哑膜</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5000.00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份</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礼品手提袋</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300mm*400mm*80mm，250g白卡，打孔挂绳，单面四色印刷</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2000.00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个</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主题拍照墙</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3m*2.4m*厚45cm</w:t>
            </w:r>
            <w:r>
              <w:rPr>
                <w:rFonts w:hint="eastAsia" w:ascii="微软雅黑 Light" w:hAnsi="微软雅黑 Light" w:eastAsia="微软雅黑 Light" w:cs="微软雅黑 Light"/>
                <w:color w:val="000000"/>
                <w:kern w:val="0"/>
                <w:sz w:val="20"/>
                <w:szCs w:val="20"/>
                <w:highlight w:val="none"/>
                <w:lang w:bidi="ar"/>
              </w:rPr>
              <w:t>（预估）</w:t>
            </w:r>
            <w:r>
              <w:rPr>
                <w:rFonts w:ascii="微软雅黑 Light" w:hAnsi="微软雅黑 Light" w:eastAsia="微软雅黑 Light" w:cs="微软雅黑 Light"/>
                <w:color w:val="000000"/>
                <w:kern w:val="0"/>
                <w:sz w:val="20"/>
                <w:szCs w:val="20"/>
                <w:highlight w:val="none"/>
                <w:lang w:bidi="ar"/>
              </w:rPr>
              <w:t>，镀锌管烤漆立体框架，画面部分镀锌板裱高清车贴</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项</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主题拍照墙</w:t>
            </w:r>
            <w:r>
              <w:rPr>
                <w:rFonts w:ascii="微软雅黑 Light" w:hAnsi="微软雅黑 Light" w:eastAsia="微软雅黑 Light" w:cs="微软雅黑 Light"/>
                <w:color w:val="000000"/>
                <w:kern w:val="0"/>
                <w:sz w:val="20"/>
                <w:szCs w:val="20"/>
                <w:highlight w:val="none"/>
                <w:lang w:bidi="ar"/>
              </w:rPr>
              <w:br w:type="textWrapping"/>
            </w:r>
            <w:r>
              <w:rPr>
                <w:rFonts w:ascii="微软雅黑 Light" w:hAnsi="微软雅黑 Light" w:eastAsia="微软雅黑 Light" w:cs="微软雅黑 Light"/>
                <w:color w:val="000000"/>
                <w:kern w:val="0"/>
                <w:sz w:val="20"/>
                <w:szCs w:val="20"/>
                <w:highlight w:val="none"/>
                <w:lang w:bidi="ar"/>
              </w:rPr>
              <w:t>落地LOGO</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1.5m*0.6m</w:t>
            </w:r>
            <w:r>
              <w:rPr>
                <w:rFonts w:hint="eastAsia" w:ascii="微软雅黑 Light" w:hAnsi="微软雅黑 Light" w:eastAsia="微软雅黑 Light" w:cs="微软雅黑 Light"/>
                <w:color w:val="000000"/>
                <w:kern w:val="0"/>
                <w:sz w:val="20"/>
                <w:szCs w:val="20"/>
                <w:highlight w:val="none"/>
                <w:lang w:bidi="ar"/>
              </w:rPr>
              <w:t>（预估）</w:t>
            </w:r>
            <w:r>
              <w:rPr>
                <w:rFonts w:ascii="微软雅黑 Light" w:hAnsi="微软雅黑 Light" w:eastAsia="微软雅黑 Light" w:cs="微软雅黑 Light"/>
                <w:color w:val="000000"/>
                <w:kern w:val="0"/>
                <w:sz w:val="20"/>
                <w:szCs w:val="20"/>
                <w:highlight w:val="none"/>
                <w:lang w:bidi="ar"/>
              </w:rPr>
              <w:t>，烤漆落地地台，亚克力立体LOGO字</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项</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形象长廊</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26m*3m*厚45cm</w:t>
            </w:r>
            <w:r>
              <w:rPr>
                <w:rFonts w:hint="eastAsia" w:ascii="微软雅黑 Light" w:hAnsi="微软雅黑 Light" w:eastAsia="微软雅黑 Light" w:cs="微软雅黑 Light"/>
                <w:color w:val="000000"/>
                <w:kern w:val="0"/>
                <w:sz w:val="20"/>
                <w:szCs w:val="20"/>
                <w:highlight w:val="none"/>
                <w:lang w:bidi="ar"/>
              </w:rPr>
              <w:t>（预估）</w:t>
            </w:r>
            <w:r>
              <w:rPr>
                <w:rFonts w:ascii="微软雅黑 Light" w:hAnsi="微软雅黑 Light" w:eastAsia="微软雅黑 Light" w:cs="微软雅黑 Light"/>
                <w:color w:val="000000"/>
                <w:kern w:val="0"/>
                <w:sz w:val="20"/>
                <w:szCs w:val="20"/>
                <w:highlight w:val="none"/>
                <w:lang w:bidi="ar"/>
              </w:rPr>
              <w:t>，镀锌管烤漆立体框架，木制宣传背板双面裱高清车贴</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项</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大厅门型展架</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2m*0.95m</w:t>
            </w:r>
            <w:r>
              <w:rPr>
                <w:rFonts w:hint="eastAsia" w:ascii="微软雅黑 Light" w:hAnsi="微软雅黑 Light" w:eastAsia="微软雅黑 Light" w:cs="微软雅黑 Light"/>
                <w:color w:val="000000"/>
                <w:kern w:val="0"/>
                <w:sz w:val="20"/>
                <w:szCs w:val="20"/>
                <w:highlight w:val="none"/>
                <w:lang w:bidi="ar"/>
              </w:rPr>
              <w:t>（预估）</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6.00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个</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hint="eastAsia" w:ascii="微软雅黑 Light" w:hAnsi="微软雅黑 Light" w:eastAsia="微软雅黑 Light" w:cs="微软雅黑 Light"/>
                <w:color w:val="000000"/>
                <w:kern w:val="0"/>
                <w:sz w:val="20"/>
                <w:szCs w:val="20"/>
                <w:highlight w:val="none"/>
                <w:lang w:bidi="ar"/>
              </w:rPr>
              <w:t>大礼堂</w:t>
            </w:r>
            <w:r>
              <w:rPr>
                <w:rFonts w:ascii="微软雅黑 Light" w:hAnsi="微软雅黑 Light" w:eastAsia="微软雅黑 Light" w:cs="微软雅黑 Light"/>
                <w:color w:val="000000"/>
                <w:kern w:val="0"/>
                <w:sz w:val="20"/>
                <w:szCs w:val="20"/>
                <w:highlight w:val="none"/>
                <w:lang w:bidi="ar"/>
              </w:rPr>
              <w:t>红毯区背板</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5m*3m，厚0.8m</w:t>
            </w:r>
            <w:r>
              <w:rPr>
                <w:rFonts w:hint="eastAsia" w:ascii="微软雅黑 Light" w:hAnsi="微软雅黑 Light" w:eastAsia="微软雅黑 Light" w:cs="微软雅黑 Light"/>
                <w:color w:val="000000"/>
                <w:kern w:val="0"/>
                <w:sz w:val="20"/>
                <w:szCs w:val="20"/>
                <w:highlight w:val="none"/>
                <w:lang w:bidi="ar"/>
              </w:rPr>
              <w:t>（预估）</w:t>
            </w:r>
            <w:r>
              <w:rPr>
                <w:rFonts w:ascii="微软雅黑 Light" w:hAnsi="微软雅黑 Light" w:eastAsia="微软雅黑 Light" w:cs="微软雅黑 Light"/>
                <w:color w:val="000000"/>
                <w:kern w:val="0"/>
                <w:sz w:val="20"/>
                <w:szCs w:val="20"/>
                <w:highlight w:val="none"/>
                <w:lang w:bidi="ar"/>
              </w:rPr>
              <w:t>，桁架精喷黑白布，双面</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35.00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平米</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hint="eastAsia" w:ascii="微软雅黑 Light" w:hAnsi="微软雅黑 Light" w:eastAsia="微软雅黑 Light" w:cs="微软雅黑 Light"/>
                <w:color w:val="000000"/>
                <w:kern w:val="0"/>
                <w:sz w:val="20"/>
                <w:szCs w:val="20"/>
                <w:highlight w:val="none"/>
                <w:lang w:bidi="ar"/>
              </w:rPr>
              <w:t>大礼堂</w:t>
            </w:r>
            <w:r>
              <w:rPr>
                <w:rFonts w:ascii="微软雅黑 Light" w:hAnsi="微软雅黑 Light" w:eastAsia="微软雅黑 Light" w:cs="微软雅黑 Light"/>
                <w:color w:val="000000"/>
                <w:kern w:val="0"/>
                <w:sz w:val="20"/>
                <w:szCs w:val="20"/>
                <w:highlight w:val="none"/>
                <w:lang w:bidi="ar"/>
              </w:rPr>
              <w:t>红毯区地毯</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红色拉绒地毯</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100.00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平米</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hint="eastAsia" w:ascii="微软雅黑 Light" w:hAnsi="微软雅黑 Light" w:eastAsia="微软雅黑 Light" w:cs="微软雅黑 Light"/>
                <w:color w:val="000000"/>
                <w:kern w:val="0"/>
                <w:sz w:val="20"/>
                <w:szCs w:val="20"/>
                <w:highlight w:val="none"/>
                <w:lang w:bidi="ar"/>
              </w:rPr>
              <w:t>大礼堂</w:t>
            </w:r>
            <w:r>
              <w:rPr>
                <w:rFonts w:ascii="微软雅黑 Light" w:hAnsi="微软雅黑 Light" w:eastAsia="微软雅黑 Light" w:cs="微软雅黑 Light"/>
                <w:color w:val="000000"/>
                <w:kern w:val="0"/>
                <w:sz w:val="20"/>
                <w:szCs w:val="20"/>
                <w:highlight w:val="none"/>
                <w:lang w:bidi="ar"/>
              </w:rPr>
              <w:t>序厅签到背板</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3m*2.4m，厚0.6m</w:t>
            </w:r>
            <w:r>
              <w:rPr>
                <w:rFonts w:hint="eastAsia" w:ascii="微软雅黑 Light" w:hAnsi="微软雅黑 Light" w:eastAsia="微软雅黑 Light" w:cs="微软雅黑 Light"/>
                <w:color w:val="000000"/>
                <w:kern w:val="0"/>
                <w:sz w:val="20"/>
                <w:szCs w:val="20"/>
                <w:highlight w:val="none"/>
                <w:lang w:bidi="ar"/>
              </w:rPr>
              <w:t>（预估）</w:t>
            </w:r>
            <w:r>
              <w:rPr>
                <w:rFonts w:ascii="微软雅黑 Light" w:hAnsi="微软雅黑 Light" w:eastAsia="微软雅黑 Light" w:cs="微软雅黑 Light"/>
                <w:color w:val="000000"/>
                <w:kern w:val="0"/>
                <w:sz w:val="20"/>
                <w:szCs w:val="20"/>
                <w:highlight w:val="none"/>
                <w:lang w:bidi="ar"/>
              </w:rPr>
              <w:t>，桁架精喷黑白布，双面</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18.00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平米</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hint="eastAsia" w:ascii="微软雅黑 Light" w:hAnsi="微软雅黑 Light" w:eastAsia="微软雅黑 Light" w:cs="微软雅黑 Light"/>
                <w:color w:val="000000"/>
                <w:kern w:val="0"/>
                <w:sz w:val="20"/>
                <w:szCs w:val="20"/>
                <w:highlight w:val="none"/>
                <w:lang w:bidi="ar"/>
              </w:rPr>
              <w:t>大礼堂</w:t>
            </w:r>
            <w:r>
              <w:rPr>
                <w:rFonts w:ascii="微软雅黑 Light" w:hAnsi="微软雅黑 Light" w:eastAsia="微软雅黑 Light" w:cs="微软雅黑 Light"/>
                <w:color w:val="000000"/>
                <w:kern w:val="0"/>
                <w:sz w:val="20"/>
                <w:szCs w:val="20"/>
                <w:highlight w:val="none"/>
                <w:lang w:bidi="ar"/>
              </w:rPr>
              <w:t>序厅门型展架</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2.2m*1.35m</w:t>
            </w:r>
            <w:r>
              <w:rPr>
                <w:rFonts w:hint="eastAsia" w:ascii="微软雅黑 Light" w:hAnsi="微软雅黑 Light" w:eastAsia="微软雅黑 Light" w:cs="微软雅黑 Light"/>
                <w:color w:val="000000"/>
                <w:kern w:val="0"/>
                <w:sz w:val="20"/>
                <w:szCs w:val="20"/>
                <w:highlight w:val="none"/>
                <w:lang w:bidi="ar"/>
              </w:rPr>
              <w:t>（预估）</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2.00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个</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hint="eastAsia" w:ascii="微软雅黑 Light" w:hAnsi="微软雅黑 Light" w:eastAsia="微软雅黑 Light" w:cs="微软雅黑 Light"/>
                <w:color w:val="000000"/>
                <w:kern w:val="0"/>
                <w:sz w:val="20"/>
                <w:szCs w:val="20"/>
                <w:highlight w:val="none"/>
                <w:lang w:bidi="ar"/>
              </w:rPr>
              <w:t>大礼堂</w:t>
            </w:r>
            <w:r>
              <w:rPr>
                <w:rFonts w:ascii="微软雅黑 Light" w:hAnsi="微软雅黑 Light" w:eastAsia="微软雅黑 Light" w:cs="微软雅黑 Light"/>
                <w:color w:val="000000"/>
                <w:kern w:val="0"/>
                <w:sz w:val="20"/>
                <w:szCs w:val="20"/>
                <w:highlight w:val="none"/>
                <w:lang w:bidi="ar"/>
              </w:rPr>
              <w:t>LED主屏幕</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宽9m*高5m</w:t>
            </w:r>
            <w:r>
              <w:rPr>
                <w:rFonts w:hint="eastAsia" w:ascii="微软雅黑 Light" w:hAnsi="微软雅黑 Light" w:eastAsia="微软雅黑 Light" w:cs="微软雅黑 Light"/>
                <w:color w:val="000000"/>
                <w:kern w:val="0"/>
                <w:sz w:val="20"/>
                <w:szCs w:val="20"/>
                <w:highlight w:val="none"/>
                <w:lang w:bidi="ar"/>
              </w:rPr>
              <w:t>（预估）</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45.00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平米</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hint="eastAsia" w:ascii="微软雅黑 Light" w:hAnsi="微软雅黑 Light" w:eastAsia="微软雅黑 Light" w:cs="微软雅黑 Light"/>
                <w:color w:val="000000"/>
                <w:kern w:val="0"/>
                <w:sz w:val="20"/>
                <w:szCs w:val="20"/>
                <w:highlight w:val="none"/>
                <w:lang w:bidi="ar"/>
              </w:rPr>
              <w:t>大礼堂</w:t>
            </w:r>
            <w:r>
              <w:rPr>
                <w:rFonts w:ascii="微软雅黑 Light" w:hAnsi="微软雅黑 Light" w:eastAsia="微软雅黑 Light" w:cs="微软雅黑 Light"/>
                <w:color w:val="000000"/>
                <w:kern w:val="0"/>
                <w:sz w:val="20"/>
                <w:szCs w:val="20"/>
                <w:highlight w:val="none"/>
                <w:lang w:bidi="ar"/>
              </w:rPr>
              <w:t>LED副屏幕</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宽3m*高5m*2组</w:t>
            </w:r>
            <w:r>
              <w:rPr>
                <w:rFonts w:hint="eastAsia" w:ascii="微软雅黑 Light" w:hAnsi="微软雅黑 Light" w:eastAsia="微软雅黑 Light" w:cs="微软雅黑 Light"/>
                <w:color w:val="000000"/>
                <w:kern w:val="0"/>
                <w:sz w:val="20"/>
                <w:szCs w:val="20"/>
                <w:highlight w:val="none"/>
                <w:lang w:bidi="ar"/>
              </w:rPr>
              <w:t>（预估）</w:t>
            </w:r>
            <w:r>
              <w:rPr>
                <w:rFonts w:ascii="微软雅黑 Light" w:hAnsi="微软雅黑 Light" w:eastAsia="微软雅黑 Light" w:cs="微软雅黑 Light"/>
                <w:color w:val="000000"/>
                <w:kern w:val="0"/>
                <w:sz w:val="20"/>
                <w:szCs w:val="20"/>
                <w:highlight w:val="none"/>
                <w:lang w:bidi="ar"/>
              </w:rPr>
              <w:t>，室内全彩专业LED屏幕</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30.00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平米</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摄影</w:t>
            </w:r>
            <w:r>
              <w:rPr>
                <w:rFonts w:hint="eastAsia" w:ascii="微软雅黑 Light" w:hAnsi="微软雅黑 Light" w:eastAsia="微软雅黑 Light" w:cs="微软雅黑 Light"/>
                <w:color w:val="000000"/>
                <w:kern w:val="0"/>
                <w:sz w:val="20"/>
                <w:szCs w:val="20"/>
                <w:highlight w:val="none"/>
                <w:lang w:bidi="ar"/>
              </w:rPr>
              <w:t>、摄像</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满足活动摄影摄像需求，提供可满足800人以上合影的设备及人员</w:t>
            </w:r>
            <w:r>
              <w:rPr>
                <w:rFonts w:hint="eastAsia" w:ascii="微软雅黑 Light" w:hAnsi="微软雅黑 Light" w:eastAsia="微软雅黑 Light" w:cs="微软雅黑 Light"/>
                <w:color w:val="000000"/>
                <w:kern w:val="0"/>
                <w:sz w:val="20"/>
                <w:szCs w:val="20"/>
                <w:highlight w:val="none"/>
                <w:lang w:bidi="ar"/>
              </w:rPr>
              <w:t>，包括合影座椅</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云摄影</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云摄影系统</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项</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hint="eastAsia" w:ascii="微软雅黑 Light" w:hAnsi="微软雅黑 Light" w:eastAsia="微软雅黑 Light" w:cs="微软雅黑 Light"/>
                <w:color w:val="000000"/>
                <w:kern w:val="0"/>
                <w:sz w:val="20"/>
                <w:szCs w:val="20"/>
                <w:highlight w:val="none"/>
                <w:lang w:bidi="ar"/>
              </w:rPr>
              <w:t>电子</w:t>
            </w:r>
            <w:r>
              <w:rPr>
                <w:rFonts w:ascii="微软雅黑 Light" w:hAnsi="微软雅黑 Light" w:eastAsia="微软雅黑 Light" w:cs="微软雅黑 Light"/>
                <w:color w:val="000000"/>
                <w:kern w:val="0"/>
                <w:sz w:val="20"/>
                <w:szCs w:val="20"/>
                <w:highlight w:val="none"/>
                <w:lang w:bidi="ar"/>
              </w:rPr>
              <w:t>邀请函</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hint="eastAsia" w:ascii="微软雅黑 Light" w:hAnsi="微软雅黑 Light" w:eastAsia="微软雅黑 Light" w:cs="微软雅黑 Light"/>
                <w:color w:val="000000"/>
                <w:kern w:val="0"/>
                <w:sz w:val="20"/>
                <w:szCs w:val="20"/>
                <w:highlight w:val="none"/>
                <w:lang w:bidi="ar"/>
              </w:rPr>
              <w:t>电子</w:t>
            </w:r>
            <w:r>
              <w:rPr>
                <w:rFonts w:ascii="微软雅黑 Light" w:hAnsi="微软雅黑 Light" w:eastAsia="微软雅黑 Light" w:cs="微软雅黑 Light"/>
                <w:color w:val="000000"/>
                <w:kern w:val="0"/>
                <w:sz w:val="20"/>
                <w:szCs w:val="20"/>
                <w:highlight w:val="none"/>
                <w:lang w:bidi="ar"/>
              </w:rPr>
              <w:t>邀请函制作</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项</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体温计 印有院庆logo</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小米iHealth体温计</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200.00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份</w:t>
            </w:r>
          </w:p>
        </w:tc>
      </w:tr>
      <w:tr>
        <w:tblPrEx>
          <w:tblLayout w:type="fixed"/>
          <w:tblCellMar>
            <w:top w:w="15" w:type="dxa"/>
            <w:left w:w="15" w:type="dxa"/>
            <w:bottom w:w="15" w:type="dxa"/>
            <w:right w:w="15" w:type="dxa"/>
          </w:tblCellMar>
        </w:tblPrEx>
        <w:trPr>
          <w:trHeight w:val="624" w:hRule="atLeast"/>
          <w:jc w:val="center"/>
        </w:trPr>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院歌创作</w:t>
            </w:r>
          </w:p>
        </w:tc>
        <w:tc>
          <w:tcPr>
            <w:tcW w:w="63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作词</w:t>
            </w:r>
            <w:r>
              <w:rPr>
                <w:rFonts w:hint="eastAsia" w:ascii="微软雅黑 Light" w:hAnsi="微软雅黑 Light" w:eastAsia="微软雅黑 Light" w:cs="微软雅黑 Light"/>
                <w:color w:val="000000"/>
                <w:kern w:val="0"/>
                <w:sz w:val="20"/>
                <w:szCs w:val="20"/>
                <w:highlight w:val="none"/>
                <w:lang w:bidi="ar"/>
              </w:rPr>
              <w:t>、</w:t>
            </w:r>
            <w:r>
              <w:rPr>
                <w:rFonts w:ascii="微软雅黑 Light" w:hAnsi="微软雅黑 Light" w:eastAsia="微软雅黑 Light" w:cs="微软雅黑 Light"/>
                <w:color w:val="000000"/>
                <w:kern w:val="0"/>
                <w:sz w:val="20"/>
                <w:szCs w:val="20"/>
                <w:highlight w:val="none"/>
                <w:lang w:bidi="ar"/>
              </w:rPr>
              <w:t>作曲</w:t>
            </w:r>
            <w:r>
              <w:rPr>
                <w:rFonts w:hint="eastAsia" w:ascii="微软雅黑 Light" w:hAnsi="微软雅黑 Light" w:eastAsia="微软雅黑 Light" w:cs="微软雅黑 Light"/>
                <w:color w:val="000000"/>
                <w:kern w:val="0"/>
                <w:sz w:val="20"/>
                <w:szCs w:val="20"/>
                <w:highlight w:val="none"/>
                <w:lang w:bidi="ar"/>
              </w:rPr>
              <w:t>、</w:t>
            </w:r>
            <w:r>
              <w:rPr>
                <w:rFonts w:ascii="微软雅黑 Light" w:hAnsi="微软雅黑 Light" w:eastAsia="微软雅黑 Light" w:cs="微软雅黑 Light"/>
                <w:color w:val="000000"/>
                <w:kern w:val="0"/>
                <w:sz w:val="20"/>
                <w:szCs w:val="20"/>
                <w:highlight w:val="none"/>
                <w:lang w:bidi="ar"/>
              </w:rPr>
              <w:t>编曲</w:t>
            </w:r>
            <w:r>
              <w:rPr>
                <w:rFonts w:hint="eastAsia" w:ascii="微软雅黑 Light" w:hAnsi="微软雅黑 Light" w:eastAsia="微软雅黑 Light" w:cs="微软雅黑 Light"/>
                <w:color w:val="000000"/>
                <w:kern w:val="0"/>
                <w:sz w:val="20"/>
                <w:szCs w:val="20"/>
                <w:highlight w:val="none"/>
                <w:lang w:bidi="ar"/>
              </w:rPr>
              <w:t>、录音成曲、主唱</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Light" w:hAnsi="微软雅黑 Light" w:eastAsia="微软雅黑 Light" w:cs="微软雅黑 Light"/>
                <w:color w:val="000000"/>
                <w:kern w:val="0"/>
                <w:sz w:val="20"/>
                <w:szCs w:val="20"/>
                <w:highlight w:val="none"/>
                <w:lang w:bidi="ar"/>
              </w:rPr>
            </w:pPr>
            <w:r>
              <w:rPr>
                <w:rFonts w:ascii="微软雅黑 Light" w:hAnsi="微软雅黑 Light" w:eastAsia="微软雅黑 Light" w:cs="微软雅黑 Light"/>
                <w:color w:val="000000"/>
                <w:kern w:val="0"/>
                <w:sz w:val="20"/>
                <w:szCs w:val="20"/>
                <w:highlight w:val="none"/>
                <w:lang w:bidi="ar"/>
              </w:rPr>
              <w:t>项</w:t>
            </w:r>
          </w:p>
        </w:tc>
      </w:tr>
    </w:tbl>
    <w:p>
      <w:pPr>
        <w:pStyle w:val="39"/>
        <w:numPr>
          <w:ilvl w:val="0"/>
          <w:numId w:val="21"/>
        </w:numPr>
        <w:adjustRightInd w:val="0"/>
        <w:snapToGrid w:val="0"/>
        <w:spacing w:before="312" w:beforeLines="100"/>
        <w:ind w:left="697" w:hanging="357" w:firstLineChars="0"/>
        <w:rPr>
          <w:rFonts w:ascii="宋体" w:hAnsi="宋体"/>
          <w:highlight w:val="none"/>
        </w:rPr>
      </w:pPr>
      <w:r>
        <w:rPr>
          <w:rFonts w:hint="eastAsia" w:ascii="宋体" w:hAnsi="宋体"/>
          <w:highlight w:val="none"/>
        </w:rPr>
        <w:t>投标人应就上述项目</w:t>
      </w:r>
      <w:r>
        <w:rPr>
          <w:rFonts w:hint="eastAsia" w:ascii="宋体" w:hAnsi="宋体"/>
          <w:highlight w:val="none"/>
          <w:lang w:eastAsia="zh-CN"/>
        </w:rPr>
        <w:t>技术要求</w:t>
      </w:r>
      <w:r>
        <w:rPr>
          <w:rFonts w:hint="eastAsia" w:ascii="宋体" w:hAnsi="宋体"/>
          <w:highlight w:val="none"/>
        </w:rPr>
        <w:t>提供明确的</w:t>
      </w:r>
      <w:r>
        <w:rPr>
          <w:rFonts w:hint="eastAsia" w:ascii="宋体" w:hAnsi="宋体"/>
          <w:highlight w:val="none"/>
          <w:lang w:eastAsia="zh-CN"/>
        </w:rPr>
        <w:t>深化设计</w:t>
      </w:r>
      <w:r>
        <w:rPr>
          <w:rFonts w:hint="eastAsia" w:ascii="宋体" w:hAnsi="宋体"/>
          <w:highlight w:val="none"/>
        </w:rPr>
        <w:t>方案</w:t>
      </w:r>
      <w:r>
        <w:rPr>
          <w:rFonts w:hint="eastAsia" w:ascii="宋体" w:hAnsi="宋体"/>
          <w:highlight w:val="none"/>
          <w:lang w:eastAsia="zh-CN"/>
        </w:rPr>
        <w:t>，作为</w:t>
      </w:r>
      <w:r>
        <w:rPr>
          <w:rFonts w:hint="eastAsia" w:ascii="宋体" w:hAnsi="宋体"/>
          <w:sz w:val="24"/>
          <w:highlight w:val="none"/>
        </w:rPr>
        <w:t>技术指标</w:t>
      </w:r>
      <w:r>
        <w:rPr>
          <w:rFonts w:hint="eastAsia" w:ascii="宋体" w:hAnsi="宋体"/>
          <w:sz w:val="24"/>
          <w:highlight w:val="none"/>
          <w:lang w:eastAsia="zh-CN"/>
        </w:rPr>
        <w:t>评审的依据。</w:t>
      </w:r>
    </w:p>
    <w:p>
      <w:pPr>
        <w:pStyle w:val="39"/>
        <w:adjustRightInd w:val="0"/>
        <w:snapToGrid w:val="0"/>
        <w:ind w:left="339" w:firstLine="960" w:firstLineChars="400"/>
        <w:rPr>
          <w:rFonts w:ascii="宋体" w:hAnsi="宋体"/>
          <w:highlight w:val="none"/>
        </w:rPr>
      </w:pPr>
      <w:r>
        <w:rPr>
          <w:rFonts w:hint="eastAsia" w:ascii="宋体" w:hAnsi="宋体"/>
          <w:highlight w:val="none"/>
        </w:rPr>
        <w:t xml:space="preserve">（详细评审标准请见 </w:t>
      </w:r>
      <w:r>
        <w:rPr>
          <w:rFonts w:hint="eastAsia" w:ascii="宋体" w:hAnsi="宋体"/>
          <w:b/>
          <w:bCs/>
          <w:highlight w:val="none"/>
        </w:rPr>
        <w:t>“7评审标准”</w:t>
      </w:r>
      <w:r>
        <w:rPr>
          <w:rFonts w:hint="eastAsia" w:ascii="宋体" w:hAnsi="宋体"/>
          <w:highlight w:val="none"/>
        </w:rPr>
        <w:t>）</w:t>
      </w:r>
    </w:p>
    <w:p>
      <w:pPr>
        <w:pStyle w:val="39"/>
        <w:numPr>
          <w:ilvl w:val="0"/>
          <w:numId w:val="21"/>
        </w:numPr>
        <w:adjustRightInd w:val="0"/>
        <w:snapToGrid w:val="0"/>
        <w:ind w:firstLineChars="0"/>
        <w:rPr>
          <w:rFonts w:ascii="宋体" w:hAnsi="宋体"/>
          <w:highlight w:val="none"/>
        </w:rPr>
      </w:pPr>
      <w:r>
        <w:rPr>
          <w:rFonts w:hint="eastAsia" w:ascii="宋体" w:hAnsi="宋体"/>
          <w:highlight w:val="none"/>
        </w:rPr>
        <w:t>整体活动时间：2019年7月-2019年11月</w:t>
      </w:r>
      <w:r>
        <w:rPr>
          <w:rFonts w:hint="eastAsia" w:ascii="宋体" w:hAnsi="宋体"/>
          <w:highlight w:val="none"/>
          <w:lang w:eastAsia="zh-CN"/>
        </w:rPr>
        <w:t>，</w:t>
      </w:r>
    </w:p>
    <w:p>
      <w:pPr>
        <w:pStyle w:val="39"/>
        <w:adjustRightInd w:val="0"/>
        <w:snapToGrid w:val="0"/>
        <w:ind w:left="339" w:firstLine="0" w:firstLineChars="0"/>
        <w:rPr>
          <w:rFonts w:ascii="宋体" w:hAnsi="宋体"/>
          <w:highlight w:val="none"/>
        </w:rPr>
      </w:pPr>
      <w:r>
        <w:rPr>
          <w:rFonts w:hint="eastAsia" w:ascii="宋体" w:hAnsi="宋体"/>
          <w:highlight w:val="none"/>
        </w:rPr>
        <w:t xml:space="preserve">   60周年院庆庆典活动时间：2019年10月19日9:00am</w:t>
      </w:r>
    </w:p>
    <w:p>
      <w:pPr>
        <w:pStyle w:val="39"/>
        <w:adjustRightInd w:val="0"/>
        <w:snapToGrid w:val="0"/>
        <w:ind w:left="339" w:firstLine="0" w:firstLineChars="0"/>
        <w:rPr>
          <w:rFonts w:hint="eastAsia" w:ascii="宋体" w:hAnsi="宋体"/>
          <w:highlight w:val="none"/>
        </w:rPr>
      </w:pPr>
      <w:r>
        <w:rPr>
          <w:rFonts w:hint="eastAsia" w:ascii="宋体" w:hAnsi="宋体"/>
          <w:highlight w:val="none"/>
        </w:rPr>
        <w:t xml:space="preserve">   60周年院庆庆典活动地点：清华大学大礼堂</w:t>
      </w:r>
    </w:p>
    <w:p>
      <w:pPr>
        <w:pStyle w:val="39"/>
        <w:adjustRightInd w:val="0"/>
        <w:snapToGrid w:val="0"/>
        <w:ind w:left="339" w:firstLine="417" w:firstLineChars="0"/>
        <w:rPr>
          <w:rFonts w:hint="eastAsia" w:ascii="宋体" w:hAnsi="宋体"/>
          <w:highlight w:val="none"/>
          <w:lang w:eastAsia="zh-CN"/>
        </w:rPr>
      </w:pPr>
      <w:r>
        <w:rPr>
          <w:rFonts w:hint="eastAsia" w:ascii="宋体" w:hAnsi="宋体"/>
          <w:highlight w:val="none"/>
        </w:rPr>
        <w:t>2019年10月19日</w:t>
      </w:r>
      <w:r>
        <w:rPr>
          <w:rFonts w:hint="eastAsia" w:ascii="宋体" w:hAnsi="宋体"/>
          <w:highlight w:val="none"/>
          <w:lang w:eastAsia="zh-CN"/>
        </w:rPr>
        <w:t>之前完成项目内容；</w:t>
      </w:r>
      <w:bookmarkStart w:id="61" w:name="_GoBack"/>
      <w:bookmarkEnd w:id="61"/>
    </w:p>
    <w:p>
      <w:pPr>
        <w:pStyle w:val="39"/>
        <w:adjustRightInd w:val="0"/>
        <w:snapToGrid w:val="0"/>
        <w:ind w:left="339" w:firstLine="417" w:firstLineChars="0"/>
        <w:rPr>
          <w:rFonts w:hint="eastAsia" w:ascii="宋体" w:hAnsi="宋体" w:eastAsia="宋体"/>
          <w:highlight w:val="none"/>
          <w:lang w:eastAsia="zh-CN"/>
        </w:rPr>
      </w:pPr>
      <w:r>
        <w:rPr>
          <w:rFonts w:hint="eastAsia" w:ascii="宋体" w:hAnsi="宋体"/>
          <w:highlight w:val="none"/>
          <w:lang w:eastAsia="zh-CN"/>
        </w:rPr>
        <w:t>维修服务期至少</w:t>
      </w:r>
      <w:r>
        <w:rPr>
          <w:rFonts w:hint="eastAsia" w:ascii="宋体" w:hAnsi="宋体"/>
          <w:highlight w:val="none"/>
          <w:lang w:val="en-US" w:eastAsia="zh-CN"/>
        </w:rPr>
        <w:t>1年；</w:t>
      </w:r>
    </w:p>
    <w:p>
      <w:pPr>
        <w:pStyle w:val="39"/>
        <w:numPr>
          <w:ilvl w:val="0"/>
          <w:numId w:val="21"/>
        </w:numPr>
        <w:adjustRightInd w:val="0"/>
        <w:snapToGrid w:val="0"/>
        <w:ind w:firstLineChars="0"/>
        <w:rPr>
          <w:rFonts w:ascii="宋体" w:hAnsi="宋体"/>
          <w:highlight w:val="none"/>
        </w:rPr>
      </w:pPr>
      <w:r>
        <w:rPr>
          <w:rFonts w:hint="eastAsia" w:ascii="宋体" w:hAnsi="宋体"/>
          <w:highlight w:val="none"/>
        </w:rPr>
        <w:t>活动费用：活动策划、执行、印刷、美陈总体费用不高于人民币</w:t>
      </w:r>
      <w:r>
        <w:rPr>
          <w:rFonts w:hint="eastAsia" w:ascii="宋体" w:hAnsi="宋体"/>
          <w:highlight w:val="none"/>
        </w:rPr>
        <w:t>45</w:t>
      </w:r>
      <w:r>
        <w:rPr>
          <w:rFonts w:hint="eastAsia" w:ascii="宋体" w:hAnsi="宋体"/>
          <w:highlight w:val="none"/>
        </w:rPr>
        <w:t xml:space="preserve">万元。 </w:t>
      </w:r>
    </w:p>
    <w:p>
      <w:pPr>
        <w:pStyle w:val="39"/>
        <w:numPr>
          <w:ilvl w:val="0"/>
          <w:numId w:val="21"/>
        </w:numPr>
        <w:adjustRightInd w:val="0"/>
        <w:snapToGrid w:val="0"/>
        <w:ind w:firstLineChars="0"/>
        <w:rPr>
          <w:rFonts w:ascii="宋体" w:hAnsi="宋体"/>
          <w:highlight w:val="none"/>
        </w:rPr>
      </w:pPr>
      <w:r>
        <w:rPr>
          <w:rFonts w:hint="eastAsia" w:ascii="宋体" w:hAnsi="宋体"/>
          <w:highlight w:val="none"/>
        </w:rPr>
        <w:t xml:space="preserve">费用要求：活动策划、执行费用为本次招标的唯一费用，中标单位应自行承担活动所需所有费用，包括但不限于场地搭建、人员费用、交通住宿费用、运输费用及相关税费等。同时，上述费用包含后期设计方案调整可能产生的一切费用，中标单位不得再另行收取任何其他的费用。  </w:t>
      </w:r>
    </w:p>
    <w:p>
      <w:pPr>
        <w:pStyle w:val="39"/>
        <w:numPr>
          <w:ilvl w:val="0"/>
          <w:numId w:val="21"/>
        </w:numPr>
        <w:adjustRightInd w:val="0"/>
        <w:snapToGrid w:val="0"/>
        <w:ind w:firstLineChars="0"/>
        <w:rPr>
          <w:rFonts w:ascii="宋体" w:hAnsi="宋体"/>
          <w:highlight w:val="none"/>
        </w:rPr>
      </w:pPr>
      <w:r>
        <w:rPr>
          <w:rFonts w:hint="eastAsia" w:ascii="宋体" w:hAnsi="宋体"/>
          <w:highlight w:val="none"/>
        </w:rPr>
        <w:t xml:space="preserve">支付方式： </w:t>
      </w:r>
    </w:p>
    <w:p>
      <w:pPr>
        <w:pStyle w:val="39"/>
        <w:adjustRightInd w:val="0"/>
        <w:snapToGrid w:val="0"/>
        <w:ind w:left="-105" w:leftChars="-50" w:firstLine="444" w:firstLineChars="185"/>
        <w:rPr>
          <w:rFonts w:ascii="宋体" w:hAnsi="宋体"/>
          <w:highlight w:val="none"/>
        </w:rPr>
      </w:pPr>
    </w:p>
    <w:p>
      <w:pPr>
        <w:pStyle w:val="39"/>
        <w:adjustRightInd w:val="0"/>
        <w:snapToGrid w:val="0"/>
        <w:spacing w:line="300" w:lineRule="auto"/>
        <w:ind w:left="-105" w:leftChars="-50" w:firstLine="444" w:firstLineChars="185"/>
        <w:rPr>
          <w:rFonts w:ascii="宋体" w:hAnsi="宋体"/>
          <w:szCs w:val="24"/>
          <w:highlight w:val="none"/>
        </w:rPr>
      </w:pPr>
    </w:p>
    <w:p>
      <w:pPr>
        <w:pStyle w:val="38"/>
        <w:rPr>
          <w:rFonts w:ascii="宋体" w:hAnsi="宋体"/>
          <w:highlight w:val="none"/>
        </w:rPr>
      </w:pPr>
      <w:bookmarkStart w:id="51" w:name="_Toc166034994"/>
      <w:bookmarkStart w:id="52" w:name="_Toc234922361"/>
      <w:bookmarkStart w:id="53" w:name="_Toc265850594"/>
      <w:bookmarkStart w:id="54" w:name="_Toc1028"/>
      <w:r>
        <w:rPr>
          <w:rFonts w:hint="eastAsia" w:ascii="宋体" w:hAnsi="宋体"/>
          <w:highlight w:val="none"/>
        </w:rPr>
        <w:t>项目</w:t>
      </w:r>
      <w:bookmarkEnd w:id="51"/>
      <w:bookmarkEnd w:id="52"/>
      <w:bookmarkEnd w:id="53"/>
      <w:r>
        <w:rPr>
          <w:rFonts w:hint="eastAsia" w:ascii="宋体" w:hAnsi="宋体"/>
          <w:highlight w:val="none"/>
        </w:rPr>
        <w:t>商务要求</w:t>
      </w:r>
      <w:bookmarkEnd w:id="54"/>
    </w:p>
    <w:p>
      <w:pPr>
        <w:pStyle w:val="58"/>
        <w:spacing w:line="360" w:lineRule="auto"/>
        <w:ind w:firstLine="600" w:firstLineChars="250"/>
        <w:rPr>
          <w:rFonts w:hAnsi="宋体"/>
          <w:highlight w:val="none"/>
        </w:rPr>
      </w:pPr>
      <w:r>
        <w:rPr>
          <w:rFonts w:hint="eastAsia" w:hAnsi="宋体"/>
          <w:highlight w:val="none"/>
        </w:rPr>
        <w:t>根据同一设计方案，由投标方进行商务投标，本项目报价为活动策划、执行费用，投标方根据活动策划方案确定项目费用及明细，最后以活动方案及总价格确定中标方，产生不符合项视为放弃投标。</w:t>
      </w:r>
    </w:p>
    <w:p>
      <w:pPr>
        <w:pStyle w:val="58"/>
        <w:spacing w:line="360" w:lineRule="auto"/>
        <w:ind w:firstLine="600" w:firstLineChars="250"/>
        <w:rPr>
          <w:rFonts w:hAnsi="宋体"/>
          <w:highlight w:val="none"/>
        </w:rPr>
      </w:pPr>
      <w:r>
        <w:rPr>
          <w:rFonts w:hint="eastAsia" w:hAnsi="宋体"/>
          <w:highlight w:val="none"/>
        </w:rPr>
        <w:t>招标人提供的设计方案的所有权及知识产权均归招标人所有，招标人提供该方案不代表对该方案所有权及知识产权的放弃或授权，无论是否中标，凡取得该招标文件的投标人均不得以任何形式自行使用或提供给任何第三方使用招标人的设计方案，中标人对该方案的使用仅限于本次招标目的的实现。</w:t>
      </w:r>
      <w:r>
        <w:rPr>
          <w:rFonts w:hAnsi="宋体"/>
          <w:highlight w:val="none"/>
        </w:rPr>
        <w:t xml:space="preserve"> </w:t>
      </w:r>
    </w:p>
    <w:p>
      <w:pPr>
        <w:pStyle w:val="58"/>
        <w:spacing w:line="360" w:lineRule="auto"/>
        <w:ind w:firstLine="600" w:firstLineChars="250"/>
        <w:rPr>
          <w:rFonts w:hAnsi="宋体"/>
          <w:highlight w:val="none"/>
        </w:rPr>
      </w:pPr>
      <w:r>
        <w:rPr>
          <w:rFonts w:hint="eastAsia" w:hAnsi="宋体"/>
          <w:highlight w:val="none"/>
        </w:rPr>
        <w:t>中标人自行承担活动过程中的安全环保责任，发生安全环保事故的，招标人不承担任何责任。</w:t>
      </w:r>
      <w:r>
        <w:rPr>
          <w:rFonts w:hAnsi="宋体"/>
          <w:highlight w:val="none"/>
        </w:rPr>
        <w:t xml:space="preserve"> </w:t>
      </w:r>
    </w:p>
    <w:p>
      <w:pPr>
        <w:pStyle w:val="57"/>
        <w:rPr>
          <w:rFonts w:ascii="宋体" w:hAnsi="宋体"/>
          <w:highlight w:val="none"/>
        </w:rPr>
      </w:pPr>
      <w:bookmarkStart w:id="55" w:name="_Toc8483"/>
      <w:r>
        <w:rPr>
          <w:rFonts w:hint="eastAsia" w:ascii="宋体" w:hAnsi="宋体"/>
          <w:highlight w:val="none"/>
        </w:rPr>
        <w:t>项目实施计划列表</w:t>
      </w:r>
      <w:bookmarkEnd w:id="55"/>
    </w:p>
    <w:p>
      <w:pPr>
        <w:pStyle w:val="39"/>
        <w:ind w:firstLine="480"/>
        <w:rPr>
          <w:rFonts w:ascii="宋体" w:hAnsi="宋体"/>
          <w:highlight w:val="none"/>
        </w:rPr>
      </w:pPr>
      <w:r>
        <w:rPr>
          <w:rFonts w:hint="eastAsia" w:ascii="宋体" w:hAnsi="宋体"/>
          <w:highlight w:val="none"/>
        </w:rPr>
        <w:t>投标人需列出项目的实施计划。</w:t>
      </w:r>
    </w:p>
    <w:p>
      <w:pPr>
        <w:pStyle w:val="57"/>
        <w:rPr>
          <w:rFonts w:ascii="宋体" w:hAnsi="宋体"/>
          <w:highlight w:val="none"/>
        </w:rPr>
      </w:pPr>
      <w:bookmarkStart w:id="56" w:name="_Toc265850599"/>
      <w:bookmarkStart w:id="57" w:name="_Toc10840"/>
      <w:bookmarkStart w:id="58" w:name="_Toc264881897"/>
      <w:r>
        <w:rPr>
          <w:rFonts w:hint="eastAsia" w:ascii="宋体" w:hAnsi="宋体"/>
          <w:highlight w:val="none"/>
        </w:rPr>
        <w:t>其他</w:t>
      </w:r>
      <w:bookmarkEnd w:id="56"/>
      <w:bookmarkEnd w:id="57"/>
      <w:bookmarkEnd w:id="58"/>
    </w:p>
    <w:p>
      <w:pPr>
        <w:pStyle w:val="39"/>
        <w:ind w:firstLine="480"/>
        <w:rPr>
          <w:rFonts w:ascii="宋体" w:hAnsi="宋体"/>
          <w:highlight w:val="none"/>
        </w:rPr>
      </w:pPr>
      <w:r>
        <w:rPr>
          <w:rFonts w:hint="eastAsia" w:ascii="宋体" w:hAnsi="宋体"/>
          <w:highlight w:val="none"/>
        </w:rPr>
        <w:t>招标单位对该文件具有最终解释权。</w:t>
      </w:r>
    </w:p>
    <w:p>
      <w:pPr>
        <w:pStyle w:val="39"/>
        <w:ind w:firstLine="480"/>
        <w:rPr>
          <w:rFonts w:ascii="宋体" w:hAnsi="宋体"/>
          <w:highlight w:val="none"/>
        </w:rPr>
      </w:pPr>
      <w:r>
        <w:rPr>
          <w:rFonts w:ascii="宋体" w:hAnsi="宋体"/>
          <w:highlight w:val="none"/>
        </w:rPr>
        <w:br w:type="page"/>
      </w:r>
    </w:p>
    <w:p>
      <w:pPr>
        <w:pStyle w:val="38"/>
        <w:numPr>
          <w:ilvl w:val="0"/>
          <w:numId w:val="0"/>
        </w:numPr>
        <w:tabs>
          <w:tab w:val="clear" w:pos="312"/>
        </w:tabs>
        <w:rPr>
          <w:rFonts w:ascii="宋体" w:hAnsi="宋体"/>
          <w:highlight w:val="none"/>
        </w:rPr>
      </w:pPr>
      <w:bookmarkStart w:id="59" w:name="_Toc3473"/>
      <w:r>
        <w:rPr>
          <w:rFonts w:hint="eastAsia" w:ascii="宋体" w:hAnsi="宋体"/>
          <w:highlight w:val="none"/>
        </w:rPr>
        <w:t>7 评审标准</w:t>
      </w:r>
      <w:bookmarkEnd w:id="59"/>
    </w:p>
    <w:tbl>
      <w:tblPr>
        <w:tblStyle w:val="37"/>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531"/>
        <w:gridCol w:w="6625"/>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5" w:type="dxa"/>
            <w:vAlign w:val="center"/>
          </w:tcPr>
          <w:p>
            <w:pPr>
              <w:jc w:val="center"/>
              <w:rPr>
                <w:rFonts w:ascii="宋体" w:hAnsi="宋体" w:cs="Arial"/>
                <w:b/>
                <w:iCs/>
                <w:szCs w:val="21"/>
                <w:highlight w:val="none"/>
              </w:rPr>
            </w:pPr>
            <w:r>
              <w:rPr>
                <w:rFonts w:hint="eastAsia" w:ascii="宋体" w:hAnsi="宋体" w:cs="Arial"/>
                <w:b/>
                <w:iCs/>
                <w:szCs w:val="21"/>
                <w:highlight w:val="none"/>
              </w:rPr>
              <w:t>序号</w:t>
            </w:r>
          </w:p>
        </w:tc>
        <w:tc>
          <w:tcPr>
            <w:tcW w:w="1531" w:type="dxa"/>
            <w:vAlign w:val="center"/>
          </w:tcPr>
          <w:p>
            <w:pPr>
              <w:jc w:val="center"/>
              <w:rPr>
                <w:rFonts w:ascii="宋体" w:hAnsi="宋体" w:cs="Arial"/>
                <w:b/>
                <w:iCs/>
                <w:szCs w:val="21"/>
                <w:highlight w:val="none"/>
              </w:rPr>
            </w:pPr>
            <w:r>
              <w:rPr>
                <w:rFonts w:hint="eastAsia" w:ascii="宋体" w:hAnsi="宋体" w:cs="Arial"/>
                <w:b/>
                <w:iCs/>
                <w:szCs w:val="21"/>
                <w:highlight w:val="none"/>
              </w:rPr>
              <w:t>评审内容</w:t>
            </w:r>
          </w:p>
        </w:tc>
        <w:tc>
          <w:tcPr>
            <w:tcW w:w="6625" w:type="dxa"/>
            <w:vAlign w:val="center"/>
          </w:tcPr>
          <w:p>
            <w:pPr>
              <w:jc w:val="center"/>
              <w:rPr>
                <w:rFonts w:ascii="宋体" w:hAnsi="宋体" w:cs="Arial"/>
                <w:b/>
                <w:iCs/>
                <w:szCs w:val="21"/>
                <w:highlight w:val="none"/>
              </w:rPr>
            </w:pPr>
            <w:r>
              <w:rPr>
                <w:rFonts w:hint="eastAsia" w:ascii="宋体" w:hAnsi="宋体" w:cs="Arial"/>
                <w:b/>
                <w:iCs/>
                <w:szCs w:val="21"/>
                <w:highlight w:val="none"/>
              </w:rPr>
              <w:t>合格条件及标准</w:t>
            </w:r>
          </w:p>
        </w:tc>
        <w:tc>
          <w:tcPr>
            <w:tcW w:w="894" w:type="dxa"/>
            <w:vAlign w:val="center"/>
          </w:tcPr>
          <w:p>
            <w:pPr>
              <w:jc w:val="center"/>
              <w:rPr>
                <w:rFonts w:ascii="宋体" w:hAnsi="宋体" w:cs="Arial"/>
                <w:b/>
                <w:iCs/>
                <w:szCs w:val="21"/>
                <w:highlight w:val="none"/>
              </w:rPr>
            </w:pPr>
            <w:r>
              <w:rPr>
                <w:rFonts w:hint="eastAsia" w:ascii="宋体" w:hAnsi="宋体" w:cs="Arial"/>
                <w:b/>
                <w:iCs/>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Align w:val="center"/>
          </w:tcPr>
          <w:p>
            <w:pPr>
              <w:jc w:val="center"/>
              <w:rPr>
                <w:rFonts w:ascii="宋体" w:hAnsi="宋体" w:cs="Arial"/>
                <w:iCs/>
                <w:szCs w:val="21"/>
                <w:highlight w:val="none"/>
              </w:rPr>
            </w:pPr>
            <w:r>
              <w:rPr>
                <w:rFonts w:hint="eastAsia" w:ascii="宋体" w:hAnsi="宋体" w:cs="Arial"/>
                <w:iCs/>
                <w:szCs w:val="21"/>
                <w:highlight w:val="none"/>
              </w:rPr>
              <w:t>1</w:t>
            </w:r>
          </w:p>
        </w:tc>
        <w:tc>
          <w:tcPr>
            <w:tcW w:w="1531" w:type="dxa"/>
            <w:vAlign w:val="center"/>
          </w:tcPr>
          <w:p>
            <w:pPr>
              <w:jc w:val="center"/>
              <w:rPr>
                <w:rFonts w:ascii="宋体" w:hAnsi="宋体" w:cs="Arial"/>
                <w:iCs/>
                <w:szCs w:val="21"/>
                <w:highlight w:val="none"/>
              </w:rPr>
            </w:pPr>
            <w:r>
              <w:rPr>
                <w:rFonts w:hint="eastAsia" w:ascii="宋体" w:hAnsi="宋体" w:cs="Arial"/>
                <w:iCs/>
                <w:szCs w:val="21"/>
                <w:highlight w:val="none"/>
              </w:rPr>
              <w:t>价格部分</w:t>
            </w:r>
          </w:p>
          <w:p>
            <w:pPr>
              <w:jc w:val="center"/>
              <w:rPr>
                <w:rFonts w:ascii="宋体" w:hAnsi="宋体" w:cs="Arial"/>
                <w:iCs/>
                <w:szCs w:val="21"/>
                <w:highlight w:val="none"/>
              </w:rPr>
            </w:pPr>
            <w:r>
              <w:rPr>
                <w:rFonts w:hint="eastAsia" w:ascii="宋体" w:hAnsi="宋体" w:cs="Arial"/>
                <w:iCs/>
                <w:szCs w:val="21"/>
                <w:highlight w:val="none"/>
              </w:rPr>
              <w:t>（40分）</w:t>
            </w:r>
          </w:p>
        </w:tc>
        <w:tc>
          <w:tcPr>
            <w:tcW w:w="6625" w:type="dxa"/>
            <w:vAlign w:val="center"/>
          </w:tcPr>
          <w:p>
            <w:pPr>
              <w:jc w:val="left"/>
              <w:rPr>
                <w:rFonts w:ascii="宋体" w:hAnsi="宋体"/>
                <w:bCs/>
                <w:szCs w:val="21"/>
                <w:highlight w:val="none"/>
              </w:rPr>
            </w:pPr>
            <w:r>
              <w:rPr>
                <w:rFonts w:hint="eastAsia" w:ascii="宋体" w:hAnsi="宋体"/>
                <w:bCs/>
                <w:szCs w:val="21"/>
                <w:highlight w:val="none"/>
              </w:rPr>
              <w:t>综合评分法中的价格分统一采用低价优先法计算，即满足招标文件要求且最后报价最低的</w:t>
            </w:r>
            <w:r>
              <w:rPr>
                <w:rFonts w:hint="eastAsia" w:ascii="宋体" w:hAnsi="宋体"/>
                <w:bCs/>
                <w:szCs w:val="21"/>
                <w:highlight w:val="none"/>
                <w:lang w:eastAsia="zh-CN"/>
              </w:rPr>
              <w:t>投标单位</w:t>
            </w:r>
            <w:r>
              <w:rPr>
                <w:rFonts w:hint="eastAsia" w:ascii="宋体" w:hAnsi="宋体"/>
                <w:bCs/>
                <w:szCs w:val="21"/>
                <w:highlight w:val="none"/>
              </w:rPr>
              <w:t>的价格为基准价，其报价分为满分40分。其他响应人的得分统一按照下列公式计算：</w:t>
            </w:r>
          </w:p>
          <w:p>
            <w:pPr>
              <w:jc w:val="left"/>
              <w:rPr>
                <w:rFonts w:ascii="宋体" w:hAnsi="宋体" w:cs="Arial"/>
                <w:iCs/>
                <w:szCs w:val="21"/>
                <w:highlight w:val="none"/>
              </w:rPr>
            </w:pPr>
            <w:r>
              <w:rPr>
                <w:rFonts w:hint="eastAsia" w:ascii="宋体" w:hAnsi="宋体"/>
                <w:bCs/>
                <w:szCs w:val="21"/>
                <w:highlight w:val="none"/>
              </w:rPr>
              <w:t>招标报价得分=(招标基准价／响应人最终招标报价)×40</w:t>
            </w:r>
          </w:p>
        </w:tc>
        <w:tc>
          <w:tcPr>
            <w:tcW w:w="894" w:type="dxa"/>
            <w:vAlign w:val="center"/>
          </w:tcPr>
          <w:p>
            <w:pPr>
              <w:jc w:val="center"/>
              <w:rPr>
                <w:rFonts w:ascii="宋体" w:hAnsi="宋体" w:cs="Arial"/>
                <w:iCs/>
                <w:szCs w:val="21"/>
                <w:highlight w:val="none"/>
              </w:rPr>
            </w:pPr>
            <w:r>
              <w:rPr>
                <w:rFonts w:hint="eastAsia" w:ascii="宋体" w:hAnsi="宋体" w:cs="Arial"/>
                <w:iCs/>
                <w:szCs w:val="21"/>
                <w:highlight w:val="none"/>
              </w:rPr>
              <w:t>0</w:t>
            </w:r>
            <w:r>
              <w:rPr>
                <w:rFonts w:ascii="宋体" w:hAnsi="宋体" w:cs="Arial"/>
                <w:iCs/>
                <w:szCs w:val="21"/>
                <w:highlight w:val="none"/>
              </w:rPr>
              <w:t>-</w:t>
            </w:r>
            <w:r>
              <w:rPr>
                <w:rFonts w:hint="eastAsia" w:ascii="宋体" w:hAnsi="宋体" w:cs="Arial"/>
                <w:iCs/>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05" w:type="dxa"/>
            <w:vMerge w:val="restart"/>
            <w:vAlign w:val="center"/>
          </w:tcPr>
          <w:p>
            <w:pPr>
              <w:jc w:val="center"/>
              <w:rPr>
                <w:rFonts w:ascii="宋体" w:hAnsi="宋体" w:cs="Arial"/>
                <w:iCs/>
                <w:szCs w:val="21"/>
                <w:highlight w:val="none"/>
              </w:rPr>
            </w:pPr>
            <w:r>
              <w:rPr>
                <w:rFonts w:hint="eastAsia" w:ascii="宋体" w:hAnsi="宋体" w:cs="Arial"/>
                <w:iCs/>
                <w:szCs w:val="21"/>
                <w:highlight w:val="none"/>
              </w:rPr>
              <w:t>2</w:t>
            </w:r>
          </w:p>
        </w:tc>
        <w:tc>
          <w:tcPr>
            <w:tcW w:w="1531" w:type="dxa"/>
            <w:vMerge w:val="restart"/>
            <w:vAlign w:val="center"/>
          </w:tcPr>
          <w:p>
            <w:pPr>
              <w:jc w:val="center"/>
              <w:rPr>
                <w:rFonts w:ascii="宋体" w:hAnsi="宋体" w:cs="Arial"/>
                <w:iCs/>
                <w:szCs w:val="21"/>
                <w:highlight w:val="none"/>
              </w:rPr>
            </w:pPr>
            <w:r>
              <w:rPr>
                <w:rFonts w:hint="eastAsia" w:ascii="宋体" w:hAnsi="宋体" w:cs="Arial"/>
                <w:iCs/>
                <w:szCs w:val="21"/>
                <w:highlight w:val="none"/>
              </w:rPr>
              <w:t>技术部分</w:t>
            </w:r>
          </w:p>
          <w:p>
            <w:pPr>
              <w:jc w:val="center"/>
              <w:rPr>
                <w:rFonts w:ascii="宋体" w:hAnsi="宋体" w:cs="Arial"/>
                <w:iCs/>
                <w:szCs w:val="21"/>
                <w:highlight w:val="none"/>
              </w:rPr>
            </w:pPr>
            <w:r>
              <w:rPr>
                <w:rFonts w:hint="eastAsia" w:ascii="宋体" w:hAnsi="宋体" w:cs="Arial"/>
                <w:iCs/>
                <w:szCs w:val="21"/>
                <w:highlight w:val="none"/>
              </w:rPr>
              <w:t>（40分）</w:t>
            </w:r>
          </w:p>
        </w:tc>
        <w:tc>
          <w:tcPr>
            <w:tcW w:w="6625" w:type="dxa"/>
            <w:vAlign w:val="center"/>
          </w:tcPr>
          <w:p>
            <w:pPr>
              <w:jc w:val="left"/>
              <w:rPr>
                <w:rFonts w:ascii="宋体" w:hAnsi="宋体"/>
                <w:bCs/>
                <w:szCs w:val="21"/>
                <w:highlight w:val="none"/>
              </w:rPr>
            </w:pPr>
            <w:r>
              <w:rPr>
                <w:rFonts w:hint="eastAsia" w:ascii="宋体" w:hAnsi="宋体" w:cs="Arial"/>
                <w:iCs/>
                <w:szCs w:val="21"/>
                <w:highlight w:val="none"/>
              </w:rPr>
              <w:t>对本项目流程梳理是否清晰明确，统筹安排充分、合理（</w:t>
            </w:r>
            <w:r>
              <w:rPr>
                <w:rFonts w:hint="eastAsia" w:ascii="宋体" w:hAnsi="宋体" w:cs="Arial"/>
                <w:iCs/>
                <w:szCs w:val="21"/>
                <w:highlight w:val="none"/>
                <w:lang w:val="en-US" w:eastAsia="zh-CN"/>
              </w:rPr>
              <w:t>5</w:t>
            </w:r>
            <w:r>
              <w:rPr>
                <w:rFonts w:hint="eastAsia" w:ascii="宋体" w:hAnsi="宋体" w:cs="Arial"/>
                <w:iCs/>
                <w:szCs w:val="21"/>
                <w:highlight w:val="none"/>
              </w:rPr>
              <w:t>分）</w:t>
            </w:r>
          </w:p>
        </w:tc>
        <w:tc>
          <w:tcPr>
            <w:tcW w:w="894" w:type="dxa"/>
            <w:vAlign w:val="center"/>
          </w:tcPr>
          <w:p>
            <w:pPr>
              <w:jc w:val="center"/>
              <w:rPr>
                <w:rFonts w:ascii="宋体" w:hAnsi="宋体" w:cs="Arial"/>
                <w:iCs/>
                <w:szCs w:val="21"/>
                <w:highlight w:val="none"/>
              </w:rPr>
            </w:pPr>
            <w:r>
              <w:rPr>
                <w:rFonts w:hint="eastAsia" w:ascii="宋体" w:hAnsi="宋体" w:cs="Arial"/>
                <w:iCs/>
                <w:szCs w:val="21"/>
                <w:highlight w:val="none"/>
              </w:rPr>
              <w:t>0-</w:t>
            </w:r>
            <w:r>
              <w:rPr>
                <w:rFonts w:hint="eastAsia" w:ascii="宋体" w:hAnsi="宋体" w:cs="Arial"/>
                <w:iCs/>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05" w:type="dxa"/>
            <w:vMerge w:val="continue"/>
            <w:vAlign w:val="center"/>
          </w:tcPr>
          <w:p>
            <w:pPr>
              <w:jc w:val="center"/>
              <w:rPr>
                <w:rFonts w:ascii="宋体" w:hAnsi="宋体" w:cs="Arial"/>
                <w:iCs/>
                <w:szCs w:val="21"/>
                <w:highlight w:val="none"/>
              </w:rPr>
            </w:pPr>
          </w:p>
        </w:tc>
        <w:tc>
          <w:tcPr>
            <w:tcW w:w="1531" w:type="dxa"/>
            <w:vMerge w:val="continue"/>
            <w:vAlign w:val="center"/>
          </w:tcPr>
          <w:p>
            <w:pPr>
              <w:jc w:val="center"/>
              <w:rPr>
                <w:rFonts w:ascii="宋体" w:hAnsi="宋体" w:cs="Arial"/>
                <w:iCs/>
                <w:szCs w:val="21"/>
                <w:highlight w:val="none"/>
              </w:rPr>
            </w:pPr>
          </w:p>
        </w:tc>
        <w:tc>
          <w:tcPr>
            <w:tcW w:w="6625" w:type="dxa"/>
            <w:vAlign w:val="center"/>
          </w:tcPr>
          <w:p>
            <w:pPr>
              <w:rPr>
                <w:rFonts w:ascii="宋体" w:hAnsi="宋体" w:cs="Arial"/>
                <w:iCs/>
                <w:szCs w:val="21"/>
                <w:highlight w:val="none"/>
              </w:rPr>
            </w:pPr>
            <w:r>
              <w:rPr>
                <w:rFonts w:hint="eastAsia" w:ascii="宋体" w:hAnsi="宋体" w:cs="Arial"/>
                <w:iCs/>
                <w:szCs w:val="21"/>
                <w:highlight w:val="none"/>
                <w:lang w:eastAsia="zh-CN"/>
              </w:rPr>
              <w:t>深化方案是否涵盖所有项目技术要求，</w:t>
            </w:r>
            <w:r>
              <w:rPr>
                <w:rFonts w:hint="eastAsia" w:ascii="宋体" w:hAnsi="宋体" w:cs="Arial"/>
                <w:iCs/>
                <w:szCs w:val="21"/>
                <w:highlight w:val="none"/>
              </w:rPr>
              <w:t>策划方案是否能够突显活动特色，有针对性，内容丰富、详细，可实施性强（</w:t>
            </w:r>
            <w:r>
              <w:rPr>
                <w:rFonts w:hint="eastAsia" w:ascii="宋体" w:hAnsi="宋体" w:cs="Arial"/>
                <w:iCs/>
                <w:szCs w:val="21"/>
                <w:highlight w:val="none"/>
                <w:lang w:val="en-US" w:eastAsia="zh-CN"/>
              </w:rPr>
              <w:t>2</w:t>
            </w:r>
            <w:r>
              <w:rPr>
                <w:rFonts w:hint="eastAsia" w:ascii="宋体" w:hAnsi="宋体" w:cs="Arial"/>
                <w:iCs/>
                <w:szCs w:val="21"/>
                <w:highlight w:val="none"/>
              </w:rPr>
              <w:t>0分）</w:t>
            </w:r>
          </w:p>
        </w:tc>
        <w:tc>
          <w:tcPr>
            <w:tcW w:w="894" w:type="dxa"/>
            <w:vAlign w:val="center"/>
          </w:tcPr>
          <w:p>
            <w:pPr>
              <w:jc w:val="center"/>
              <w:rPr>
                <w:rFonts w:ascii="宋体" w:hAnsi="宋体" w:cs="Arial"/>
                <w:iCs/>
                <w:szCs w:val="21"/>
                <w:highlight w:val="none"/>
              </w:rPr>
            </w:pPr>
            <w:r>
              <w:rPr>
                <w:rFonts w:hint="eastAsia" w:ascii="宋体" w:hAnsi="宋体" w:cs="Arial"/>
                <w:iCs/>
                <w:szCs w:val="21"/>
                <w:highlight w:val="none"/>
              </w:rPr>
              <w:t>0</w:t>
            </w:r>
            <w:r>
              <w:rPr>
                <w:rFonts w:ascii="宋体" w:hAnsi="宋体" w:cs="Arial"/>
                <w:iCs/>
                <w:szCs w:val="21"/>
                <w:highlight w:val="none"/>
              </w:rPr>
              <w:t>-</w:t>
            </w:r>
            <w:r>
              <w:rPr>
                <w:rFonts w:hint="eastAsia" w:ascii="宋体" w:hAnsi="宋体" w:cs="Arial"/>
                <w:iCs/>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05" w:type="dxa"/>
            <w:vMerge w:val="continue"/>
            <w:vAlign w:val="center"/>
          </w:tcPr>
          <w:p>
            <w:pPr>
              <w:jc w:val="center"/>
              <w:rPr>
                <w:rFonts w:ascii="宋体" w:hAnsi="宋体" w:cs="Arial"/>
                <w:iCs/>
                <w:szCs w:val="21"/>
                <w:highlight w:val="none"/>
              </w:rPr>
            </w:pPr>
          </w:p>
        </w:tc>
        <w:tc>
          <w:tcPr>
            <w:tcW w:w="1531" w:type="dxa"/>
            <w:vMerge w:val="continue"/>
            <w:vAlign w:val="center"/>
          </w:tcPr>
          <w:p>
            <w:pPr>
              <w:jc w:val="center"/>
              <w:rPr>
                <w:rFonts w:ascii="宋体" w:hAnsi="宋体" w:cs="Arial"/>
                <w:iCs/>
                <w:szCs w:val="21"/>
                <w:highlight w:val="none"/>
              </w:rPr>
            </w:pPr>
          </w:p>
        </w:tc>
        <w:tc>
          <w:tcPr>
            <w:tcW w:w="6625" w:type="dxa"/>
            <w:vAlign w:val="center"/>
          </w:tcPr>
          <w:p>
            <w:pPr>
              <w:rPr>
                <w:rFonts w:ascii="宋体" w:hAnsi="宋体" w:cs="Arial"/>
                <w:iCs/>
                <w:szCs w:val="21"/>
                <w:highlight w:val="none"/>
              </w:rPr>
            </w:pPr>
            <w:r>
              <w:rPr>
                <w:rFonts w:hint="eastAsia" w:ascii="宋体" w:hAnsi="宋体" w:cs="Arial"/>
                <w:iCs/>
                <w:szCs w:val="21"/>
                <w:highlight w:val="none"/>
              </w:rPr>
              <w:t>应急保障</w:t>
            </w:r>
            <w:r>
              <w:rPr>
                <w:rFonts w:ascii="宋体" w:hAnsi="宋体" w:cs="Arial"/>
                <w:iCs/>
                <w:szCs w:val="21"/>
                <w:highlight w:val="none"/>
              </w:rPr>
              <w:t>方案</w:t>
            </w:r>
            <w:r>
              <w:rPr>
                <w:rFonts w:hint="eastAsia" w:ascii="宋体" w:hAnsi="宋体" w:cs="Arial"/>
                <w:iCs/>
                <w:szCs w:val="21"/>
                <w:highlight w:val="none"/>
              </w:rPr>
              <w:t>是否全面、</w:t>
            </w:r>
            <w:r>
              <w:rPr>
                <w:rFonts w:ascii="宋体" w:hAnsi="宋体" w:cs="Arial"/>
                <w:iCs/>
                <w:szCs w:val="21"/>
                <w:highlight w:val="none"/>
              </w:rPr>
              <w:t>合理、针对性强</w:t>
            </w:r>
            <w:r>
              <w:rPr>
                <w:rFonts w:hint="eastAsia" w:ascii="宋体" w:hAnsi="宋体" w:cs="Arial"/>
                <w:iCs/>
                <w:szCs w:val="21"/>
                <w:highlight w:val="none"/>
              </w:rPr>
              <w:t>，</w:t>
            </w:r>
            <w:r>
              <w:rPr>
                <w:rFonts w:ascii="宋体" w:hAnsi="宋体" w:cs="Arial"/>
                <w:iCs/>
                <w:szCs w:val="21"/>
                <w:highlight w:val="none"/>
              </w:rPr>
              <w:t>出现应急情况能够</w:t>
            </w:r>
            <w:r>
              <w:rPr>
                <w:rFonts w:hint="eastAsia" w:ascii="宋体" w:hAnsi="宋体" w:cs="Arial"/>
                <w:iCs/>
                <w:szCs w:val="21"/>
                <w:highlight w:val="none"/>
              </w:rPr>
              <w:t>妥善</w:t>
            </w:r>
            <w:r>
              <w:rPr>
                <w:rFonts w:ascii="宋体" w:hAnsi="宋体" w:cs="Arial"/>
                <w:iCs/>
                <w:szCs w:val="21"/>
                <w:highlight w:val="none"/>
              </w:rPr>
              <w:t>解决</w:t>
            </w:r>
            <w:r>
              <w:rPr>
                <w:rFonts w:hint="eastAsia" w:ascii="宋体" w:hAnsi="宋体" w:cs="Arial"/>
                <w:iCs/>
                <w:szCs w:val="21"/>
                <w:highlight w:val="none"/>
              </w:rPr>
              <w:t>（</w:t>
            </w:r>
            <w:r>
              <w:rPr>
                <w:rFonts w:hint="eastAsia" w:ascii="宋体" w:hAnsi="宋体" w:cs="Arial"/>
                <w:iCs/>
                <w:szCs w:val="21"/>
                <w:highlight w:val="none"/>
                <w:lang w:val="en-US" w:eastAsia="zh-CN"/>
              </w:rPr>
              <w:t>5</w:t>
            </w:r>
            <w:r>
              <w:rPr>
                <w:rFonts w:hint="eastAsia" w:ascii="宋体" w:hAnsi="宋体" w:cs="Arial"/>
                <w:iCs/>
                <w:szCs w:val="21"/>
                <w:highlight w:val="none"/>
              </w:rPr>
              <w:t>分）</w:t>
            </w:r>
          </w:p>
        </w:tc>
        <w:tc>
          <w:tcPr>
            <w:tcW w:w="894" w:type="dxa"/>
            <w:vAlign w:val="center"/>
          </w:tcPr>
          <w:p>
            <w:pPr>
              <w:jc w:val="center"/>
              <w:rPr>
                <w:rFonts w:ascii="宋体" w:hAnsi="宋体" w:cs="Arial"/>
                <w:iCs/>
                <w:szCs w:val="21"/>
                <w:highlight w:val="none"/>
              </w:rPr>
            </w:pPr>
            <w:r>
              <w:rPr>
                <w:rFonts w:hint="eastAsia" w:ascii="宋体" w:hAnsi="宋体" w:cs="Arial"/>
                <w:iCs/>
                <w:szCs w:val="21"/>
                <w:highlight w:val="none"/>
              </w:rPr>
              <w:t>0-</w:t>
            </w:r>
            <w:r>
              <w:rPr>
                <w:rFonts w:hint="eastAsia" w:ascii="宋体" w:hAnsi="宋体" w:cs="Arial"/>
                <w:iCs/>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05" w:type="dxa"/>
            <w:vMerge w:val="continue"/>
            <w:vAlign w:val="center"/>
          </w:tcPr>
          <w:p>
            <w:pPr>
              <w:jc w:val="center"/>
              <w:rPr>
                <w:rFonts w:ascii="宋体" w:hAnsi="宋体" w:cs="Arial"/>
                <w:iCs/>
                <w:szCs w:val="21"/>
                <w:highlight w:val="none"/>
              </w:rPr>
            </w:pPr>
          </w:p>
        </w:tc>
        <w:tc>
          <w:tcPr>
            <w:tcW w:w="1531" w:type="dxa"/>
            <w:vMerge w:val="continue"/>
            <w:vAlign w:val="center"/>
          </w:tcPr>
          <w:p>
            <w:pPr>
              <w:jc w:val="center"/>
              <w:rPr>
                <w:rFonts w:ascii="宋体" w:hAnsi="宋体" w:cs="Arial"/>
                <w:iCs/>
                <w:szCs w:val="21"/>
                <w:highlight w:val="none"/>
              </w:rPr>
            </w:pPr>
          </w:p>
        </w:tc>
        <w:tc>
          <w:tcPr>
            <w:tcW w:w="6625" w:type="dxa"/>
            <w:vAlign w:val="center"/>
          </w:tcPr>
          <w:p>
            <w:pPr>
              <w:rPr>
                <w:rFonts w:ascii="宋体" w:hAnsi="宋体" w:cs="Arial"/>
                <w:iCs/>
                <w:szCs w:val="21"/>
                <w:highlight w:val="none"/>
              </w:rPr>
            </w:pPr>
            <w:r>
              <w:rPr>
                <w:rFonts w:hint="eastAsia" w:ascii="宋体" w:hAnsi="宋体" w:cs="Arial"/>
                <w:iCs/>
                <w:szCs w:val="21"/>
                <w:highlight w:val="none"/>
              </w:rPr>
              <w:t>总体综合性能评价（5分）</w:t>
            </w:r>
          </w:p>
        </w:tc>
        <w:tc>
          <w:tcPr>
            <w:tcW w:w="894" w:type="dxa"/>
            <w:vAlign w:val="center"/>
          </w:tcPr>
          <w:p>
            <w:pPr>
              <w:jc w:val="center"/>
              <w:rPr>
                <w:rFonts w:ascii="宋体" w:hAnsi="宋体" w:cs="Arial"/>
                <w:iCs/>
                <w:szCs w:val="21"/>
                <w:highlight w:val="none"/>
              </w:rPr>
            </w:pPr>
            <w:r>
              <w:rPr>
                <w:rFonts w:hint="eastAsia" w:ascii="宋体" w:hAnsi="宋体" w:cs="Arial"/>
                <w:iCs/>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5" w:type="dxa"/>
            <w:vMerge w:val="restart"/>
            <w:vAlign w:val="center"/>
          </w:tcPr>
          <w:p>
            <w:pPr>
              <w:jc w:val="center"/>
              <w:rPr>
                <w:rFonts w:ascii="宋体" w:hAnsi="宋体" w:cs="Arial"/>
                <w:iCs/>
                <w:szCs w:val="21"/>
                <w:highlight w:val="none"/>
              </w:rPr>
            </w:pPr>
            <w:r>
              <w:rPr>
                <w:rFonts w:hint="eastAsia" w:ascii="宋体" w:hAnsi="宋体" w:cs="Arial"/>
                <w:iCs/>
                <w:szCs w:val="21"/>
                <w:highlight w:val="none"/>
              </w:rPr>
              <w:t>3</w:t>
            </w:r>
          </w:p>
        </w:tc>
        <w:tc>
          <w:tcPr>
            <w:tcW w:w="1531" w:type="dxa"/>
            <w:vMerge w:val="restart"/>
            <w:vAlign w:val="center"/>
          </w:tcPr>
          <w:p>
            <w:pPr>
              <w:jc w:val="center"/>
              <w:rPr>
                <w:rFonts w:ascii="宋体" w:hAnsi="宋体" w:cs="Arial"/>
                <w:iCs/>
                <w:szCs w:val="21"/>
                <w:highlight w:val="none"/>
              </w:rPr>
            </w:pPr>
            <w:r>
              <w:rPr>
                <w:rFonts w:hint="eastAsia" w:ascii="宋体" w:hAnsi="宋体" w:cs="Arial"/>
                <w:iCs/>
                <w:szCs w:val="21"/>
                <w:highlight w:val="none"/>
              </w:rPr>
              <w:t>资历与案例</w:t>
            </w:r>
          </w:p>
          <w:p>
            <w:pPr>
              <w:jc w:val="center"/>
              <w:rPr>
                <w:rFonts w:ascii="宋体" w:hAnsi="宋体" w:cs="Arial"/>
                <w:iCs/>
                <w:szCs w:val="21"/>
                <w:highlight w:val="none"/>
              </w:rPr>
            </w:pPr>
            <w:r>
              <w:rPr>
                <w:rFonts w:hint="eastAsia" w:ascii="宋体" w:hAnsi="宋体" w:cs="Arial"/>
                <w:iCs/>
                <w:szCs w:val="21"/>
                <w:highlight w:val="none"/>
              </w:rPr>
              <w:t>（</w:t>
            </w:r>
            <w:r>
              <w:rPr>
                <w:rFonts w:ascii="宋体" w:hAnsi="宋体" w:cs="Arial"/>
                <w:iCs/>
                <w:szCs w:val="21"/>
                <w:highlight w:val="none"/>
              </w:rPr>
              <w:t>1</w:t>
            </w:r>
            <w:r>
              <w:rPr>
                <w:rFonts w:hint="eastAsia" w:ascii="宋体" w:hAnsi="宋体" w:cs="Arial"/>
                <w:iCs/>
                <w:szCs w:val="21"/>
                <w:highlight w:val="none"/>
              </w:rPr>
              <w:t>0分）</w:t>
            </w:r>
          </w:p>
        </w:tc>
        <w:tc>
          <w:tcPr>
            <w:tcW w:w="6625" w:type="dxa"/>
            <w:vAlign w:val="center"/>
          </w:tcPr>
          <w:p>
            <w:pPr>
              <w:rPr>
                <w:rFonts w:ascii="宋体" w:hAnsi="宋体" w:cs="Arial"/>
                <w:iCs/>
                <w:szCs w:val="21"/>
                <w:highlight w:val="none"/>
              </w:rPr>
            </w:pPr>
            <w:r>
              <w:rPr>
                <w:rFonts w:hint="eastAsia" w:ascii="宋体" w:hAnsi="宋体"/>
                <w:szCs w:val="21"/>
                <w:highlight w:val="none"/>
              </w:rPr>
              <w:t>项目负责人经验</w:t>
            </w:r>
            <w:r>
              <w:rPr>
                <w:rFonts w:ascii="宋体" w:hAnsi="宋体"/>
                <w:szCs w:val="21"/>
                <w:highlight w:val="none"/>
              </w:rPr>
              <w:t>及能力</w:t>
            </w:r>
            <w:r>
              <w:rPr>
                <w:rFonts w:hint="eastAsia" w:ascii="宋体" w:hAnsi="宋体" w:cs="Arial"/>
                <w:iCs/>
                <w:szCs w:val="21"/>
                <w:highlight w:val="none"/>
              </w:rPr>
              <w:t>（3分）</w:t>
            </w:r>
          </w:p>
          <w:p>
            <w:pPr>
              <w:rPr>
                <w:rFonts w:ascii="宋体" w:hAnsi="宋体" w:cs="Arial"/>
                <w:iCs/>
                <w:szCs w:val="21"/>
                <w:highlight w:val="none"/>
              </w:rPr>
            </w:pPr>
            <w:r>
              <w:rPr>
                <w:rFonts w:hint="eastAsia" w:ascii="宋体" w:hAnsi="宋体" w:cs="Arial"/>
                <w:iCs/>
                <w:szCs w:val="21"/>
                <w:highlight w:val="none"/>
              </w:rPr>
              <w:t>为本项目拟设定的项目负责人，近三年（2</w:t>
            </w:r>
            <w:r>
              <w:rPr>
                <w:rFonts w:ascii="宋体" w:hAnsi="宋体" w:cs="Arial"/>
                <w:iCs/>
                <w:szCs w:val="21"/>
                <w:highlight w:val="none"/>
              </w:rPr>
              <w:t>016</w:t>
            </w:r>
            <w:r>
              <w:rPr>
                <w:rFonts w:hint="eastAsia" w:ascii="宋体" w:hAnsi="宋体" w:cs="Arial"/>
                <w:iCs/>
                <w:szCs w:val="21"/>
                <w:highlight w:val="none"/>
              </w:rPr>
              <w:t>年7月至今）是否担任过类似项目</w:t>
            </w:r>
          </w:p>
        </w:tc>
        <w:tc>
          <w:tcPr>
            <w:tcW w:w="894" w:type="dxa"/>
            <w:vAlign w:val="center"/>
          </w:tcPr>
          <w:p>
            <w:pPr>
              <w:jc w:val="center"/>
              <w:rPr>
                <w:rFonts w:ascii="宋体" w:hAnsi="宋体" w:cs="Arial"/>
                <w:iCs/>
                <w:szCs w:val="21"/>
                <w:highlight w:val="none"/>
              </w:rPr>
            </w:pPr>
            <w:r>
              <w:rPr>
                <w:rFonts w:hint="eastAsia" w:ascii="宋体" w:hAnsi="宋体" w:cs="Arial"/>
                <w:iCs/>
                <w:szCs w:val="21"/>
                <w:highlight w:val="none"/>
              </w:rPr>
              <w:t>0</w:t>
            </w:r>
            <w:r>
              <w:rPr>
                <w:rFonts w:ascii="宋体" w:hAnsi="宋体" w:cs="Arial"/>
                <w:iCs/>
                <w:szCs w:val="21"/>
                <w:highlight w:val="none"/>
              </w:rPr>
              <w:t>-</w:t>
            </w:r>
            <w:r>
              <w:rPr>
                <w:rFonts w:hint="eastAsia" w:ascii="宋体" w:hAnsi="宋体" w:cs="Arial"/>
                <w:iCs/>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05" w:type="dxa"/>
            <w:vMerge w:val="continue"/>
            <w:vAlign w:val="center"/>
          </w:tcPr>
          <w:p>
            <w:pPr>
              <w:jc w:val="center"/>
              <w:rPr>
                <w:rFonts w:ascii="宋体" w:hAnsi="宋体" w:cs="Arial"/>
                <w:iCs/>
                <w:szCs w:val="21"/>
                <w:highlight w:val="none"/>
              </w:rPr>
            </w:pPr>
          </w:p>
        </w:tc>
        <w:tc>
          <w:tcPr>
            <w:tcW w:w="1531" w:type="dxa"/>
            <w:vMerge w:val="continue"/>
            <w:vAlign w:val="center"/>
          </w:tcPr>
          <w:p>
            <w:pPr>
              <w:jc w:val="center"/>
              <w:rPr>
                <w:rFonts w:ascii="宋体" w:hAnsi="宋体" w:cs="Arial"/>
                <w:iCs/>
                <w:szCs w:val="21"/>
                <w:highlight w:val="none"/>
              </w:rPr>
            </w:pPr>
          </w:p>
        </w:tc>
        <w:tc>
          <w:tcPr>
            <w:tcW w:w="6625" w:type="dxa"/>
            <w:vAlign w:val="center"/>
          </w:tcPr>
          <w:p>
            <w:pPr>
              <w:rPr>
                <w:rFonts w:ascii="宋体" w:hAnsi="宋体" w:cs="Arial"/>
                <w:iCs/>
                <w:szCs w:val="21"/>
                <w:highlight w:val="none"/>
              </w:rPr>
            </w:pPr>
            <w:r>
              <w:rPr>
                <w:rFonts w:hint="eastAsia" w:ascii="宋体" w:hAnsi="宋体" w:cs="Arial"/>
                <w:iCs/>
                <w:szCs w:val="21"/>
                <w:highlight w:val="none"/>
              </w:rPr>
              <w:t>投入人员结构（2分）</w:t>
            </w:r>
          </w:p>
          <w:p>
            <w:pPr>
              <w:rPr>
                <w:rFonts w:ascii="宋体" w:hAnsi="宋体" w:cs="Arial"/>
                <w:iCs/>
                <w:szCs w:val="21"/>
                <w:highlight w:val="none"/>
              </w:rPr>
            </w:pPr>
            <w:r>
              <w:rPr>
                <w:rFonts w:hint="eastAsia" w:ascii="宋体" w:hAnsi="宋体" w:cs="Arial"/>
                <w:iCs/>
                <w:szCs w:val="21"/>
                <w:highlight w:val="none"/>
              </w:rPr>
              <w:t>项目设计组设计人员配备是否合理，人员岗位设置是否齐全</w:t>
            </w:r>
          </w:p>
        </w:tc>
        <w:tc>
          <w:tcPr>
            <w:tcW w:w="894" w:type="dxa"/>
            <w:vAlign w:val="center"/>
          </w:tcPr>
          <w:p>
            <w:pPr>
              <w:jc w:val="center"/>
              <w:rPr>
                <w:rFonts w:ascii="宋体" w:hAnsi="宋体" w:cs="Arial"/>
                <w:iCs/>
                <w:szCs w:val="21"/>
                <w:highlight w:val="none"/>
              </w:rPr>
            </w:pPr>
            <w:r>
              <w:rPr>
                <w:rFonts w:hint="eastAsia" w:ascii="宋体" w:hAnsi="宋体" w:cs="Arial"/>
                <w:iCs/>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05" w:type="dxa"/>
            <w:vMerge w:val="continue"/>
            <w:vAlign w:val="center"/>
          </w:tcPr>
          <w:p>
            <w:pPr>
              <w:jc w:val="center"/>
              <w:rPr>
                <w:rFonts w:ascii="宋体" w:hAnsi="宋体" w:cs="Arial"/>
                <w:iCs/>
                <w:szCs w:val="21"/>
                <w:highlight w:val="none"/>
              </w:rPr>
            </w:pPr>
          </w:p>
        </w:tc>
        <w:tc>
          <w:tcPr>
            <w:tcW w:w="1531" w:type="dxa"/>
            <w:vMerge w:val="continue"/>
            <w:vAlign w:val="center"/>
          </w:tcPr>
          <w:p>
            <w:pPr>
              <w:jc w:val="center"/>
              <w:rPr>
                <w:rFonts w:ascii="宋体" w:hAnsi="宋体" w:cs="Arial"/>
                <w:iCs/>
                <w:szCs w:val="21"/>
                <w:highlight w:val="none"/>
              </w:rPr>
            </w:pPr>
          </w:p>
        </w:tc>
        <w:tc>
          <w:tcPr>
            <w:tcW w:w="6625" w:type="dxa"/>
            <w:vAlign w:val="center"/>
          </w:tcPr>
          <w:p>
            <w:pPr>
              <w:rPr>
                <w:rFonts w:ascii="宋体" w:hAnsi="宋体" w:cs="Arial"/>
                <w:iCs/>
                <w:szCs w:val="21"/>
                <w:highlight w:val="none"/>
              </w:rPr>
            </w:pPr>
            <w:r>
              <w:rPr>
                <w:rFonts w:hint="eastAsia" w:ascii="宋体" w:hAnsi="宋体" w:cs="Arial"/>
                <w:iCs/>
                <w:szCs w:val="21"/>
                <w:highlight w:val="none"/>
                <w:lang w:eastAsia="zh-CN"/>
              </w:rPr>
              <w:t>投标单位</w:t>
            </w:r>
            <w:r>
              <w:rPr>
                <w:rFonts w:hint="eastAsia" w:ascii="宋体" w:hAnsi="宋体" w:cs="Arial"/>
                <w:iCs/>
                <w:szCs w:val="21"/>
                <w:highlight w:val="none"/>
              </w:rPr>
              <w:t>近三年（2016年7月）</w:t>
            </w:r>
            <w:r>
              <w:rPr>
                <w:rFonts w:hAnsi="宋体"/>
                <w:szCs w:val="21"/>
                <w:highlight w:val="none"/>
              </w:rPr>
              <w:t>内</w:t>
            </w:r>
            <w:r>
              <w:rPr>
                <w:rFonts w:hint="eastAsia" w:hAnsi="宋体"/>
                <w:szCs w:val="21"/>
                <w:highlight w:val="none"/>
              </w:rPr>
              <w:t>是否</w:t>
            </w:r>
            <w:r>
              <w:rPr>
                <w:rFonts w:hAnsi="宋体"/>
                <w:szCs w:val="21"/>
                <w:highlight w:val="none"/>
              </w:rPr>
              <w:t>承担过</w:t>
            </w:r>
            <w:r>
              <w:rPr>
                <w:rFonts w:hint="eastAsia" w:hAnsi="宋体"/>
                <w:szCs w:val="21"/>
                <w:highlight w:val="none"/>
              </w:rPr>
              <w:t>类似</w:t>
            </w:r>
            <w:r>
              <w:rPr>
                <w:rFonts w:hAnsi="宋体"/>
                <w:szCs w:val="21"/>
                <w:highlight w:val="none"/>
              </w:rPr>
              <w:t>项目</w:t>
            </w:r>
            <w:r>
              <w:rPr>
                <w:rFonts w:hint="eastAsia" w:hAnsi="宋体"/>
                <w:szCs w:val="21"/>
                <w:highlight w:val="none"/>
              </w:rPr>
              <w:t>（5分）</w:t>
            </w:r>
          </w:p>
        </w:tc>
        <w:tc>
          <w:tcPr>
            <w:tcW w:w="894" w:type="dxa"/>
            <w:vAlign w:val="center"/>
          </w:tcPr>
          <w:p>
            <w:pPr>
              <w:jc w:val="center"/>
              <w:rPr>
                <w:rFonts w:ascii="宋体" w:hAnsi="宋体" w:cs="Arial"/>
                <w:iCs/>
                <w:szCs w:val="21"/>
                <w:highlight w:val="none"/>
              </w:rPr>
            </w:pPr>
            <w:r>
              <w:rPr>
                <w:rFonts w:hint="eastAsia" w:ascii="宋体" w:hAnsi="宋体" w:cs="Arial"/>
                <w:iCs/>
                <w:szCs w:val="21"/>
                <w:highlight w:val="none"/>
              </w:rPr>
              <w:t>0</w:t>
            </w:r>
            <w:r>
              <w:rPr>
                <w:rFonts w:ascii="宋体" w:hAnsi="宋体" w:cs="Arial"/>
                <w:iCs/>
                <w:szCs w:val="21"/>
                <w:highlight w:val="none"/>
              </w:rPr>
              <w:t>-</w:t>
            </w:r>
            <w:r>
              <w:rPr>
                <w:rFonts w:hint="eastAsia" w:ascii="宋体" w:hAnsi="宋体" w:cs="Arial"/>
                <w:iCs/>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restart"/>
            <w:vAlign w:val="center"/>
          </w:tcPr>
          <w:p>
            <w:pPr>
              <w:jc w:val="center"/>
              <w:rPr>
                <w:rFonts w:ascii="宋体" w:hAnsi="宋体" w:cs="Arial"/>
                <w:iCs/>
                <w:szCs w:val="21"/>
                <w:highlight w:val="none"/>
              </w:rPr>
            </w:pPr>
            <w:r>
              <w:rPr>
                <w:rFonts w:hint="eastAsia" w:ascii="宋体" w:hAnsi="宋体" w:cs="Arial"/>
                <w:iCs/>
                <w:szCs w:val="21"/>
                <w:highlight w:val="none"/>
              </w:rPr>
              <w:t>4</w:t>
            </w:r>
          </w:p>
        </w:tc>
        <w:tc>
          <w:tcPr>
            <w:tcW w:w="1531" w:type="dxa"/>
            <w:vMerge w:val="restart"/>
            <w:vAlign w:val="center"/>
          </w:tcPr>
          <w:p>
            <w:pPr>
              <w:jc w:val="center"/>
              <w:rPr>
                <w:rFonts w:ascii="宋体" w:hAnsi="宋体" w:cs="Arial"/>
                <w:iCs/>
                <w:szCs w:val="21"/>
                <w:highlight w:val="none"/>
              </w:rPr>
            </w:pPr>
            <w:r>
              <w:rPr>
                <w:rFonts w:hint="eastAsia" w:ascii="宋体" w:hAnsi="宋体" w:cs="Arial"/>
                <w:iCs/>
                <w:szCs w:val="21"/>
                <w:highlight w:val="none"/>
              </w:rPr>
              <w:t>服务与承诺</w:t>
            </w:r>
          </w:p>
          <w:p>
            <w:pPr>
              <w:jc w:val="center"/>
              <w:rPr>
                <w:rFonts w:ascii="宋体" w:hAnsi="宋体" w:cs="Arial"/>
                <w:iCs/>
                <w:szCs w:val="21"/>
                <w:highlight w:val="none"/>
              </w:rPr>
            </w:pPr>
            <w:r>
              <w:rPr>
                <w:rFonts w:hint="eastAsia" w:ascii="宋体" w:hAnsi="宋体" w:cs="Arial"/>
                <w:iCs/>
                <w:szCs w:val="21"/>
                <w:highlight w:val="none"/>
              </w:rPr>
              <w:t>（10分）</w:t>
            </w:r>
          </w:p>
        </w:tc>
        <w:tc>
          <w:tcPr>
            <w:tcW w:w="6625" w:type="dxa"/>
            <w:vAlign w:val="center"/>
          </w:tcPr>
          <w:p>
            <w:pPr>
              <w:rPr>
                <w:rFonts w:ascii="宋体" w:hAnsi="宋体" w:cs="Arial"/>
                <w:iCs/>
                <w:szCs w:val="21"/>
                <w:highlight w:val="none"/>
              </w:rPr>
            </w:pPr>
            <w:r>
              <w:rPr>
                <w:rFonts w:hint="eastAsia" w:ascii="宋体" w:hAnsi="宋体" w:cs="Arial"/>
                <w:iCs/>
                <w:szCs w:val="21"/>
                <w:highlight w:val="none"/>
              </w:rPr>
              <w:t>后续服务承诺（6分）</w:t>
            </w:r>
          </w:p>
          <w:p>
            <w:pPr>
              <w:rPr>
                <w:rFonts w:ascii="宋体" w:hAnsi="宋体" w:cs="Arial"/>
                <w:iCs/>
                <w:szCs w:val="21"/>
                <w:highlight w:val="none"/>
              </w:rPr>
            </w:pPr>
            <w:r>
              <w:rPr>
                <w:rFonts w:ascii="宋体" w:hAnsi="宋体"/>
                <w:szCs w:val="21"/>
                <w:highlight w:val="none"/>
              </w:rPr>
              <w:t>内容</w:t>
            </w:r>
            <w:r>
              <w:rPr>
                <w:rFonts w:hint="eastAsia" w:ascii="宋体" w:hAnsi="宋体"/>
                <w:szCs w:val="21"/>
                <w:highlight w:val="none"/>
              </w:rPr>
              <w:t>是否</w:t>
            </w:r>
            <w:r>
              <w:rPr>
                <w:rFonts w:ascii="宋体" w:hAnsi="宋体"/>
                <w:szCs w:val="21"/>
                <w:highlight w:val="none"/>
              </w:rPr>
              <w:t>完整、</w:t>
            </w:r>
            <w:r>
              <w:rPr>
                <w:rFonts w:hint="eastAsia" w:ascii="宋体" w:hAnsi="宋体"/>
                <w:szCs w:val="21"/>
                <w:highlight w:val="none"/>
              </w:rPr>
              <w:t>是否</w:t>
            </w:r>
            <w:r>
              <w:rPr>
                <w:rFonts w:ascii="宋体" w:hAnsi="宋体"/>
                <w:szCs w:val="21"/>
                <w:highlight w:val="none"/>
              </w:rPr>
              <w:t>满足</w:t>
            </w:r>
            <w:r>
              <w:rPr>
                <w:rFonts w:hint="eastAsia" w:ascii="宋体" w:hAnsi="宋体"/>
                <w:szCs w:val="21"/>
                <w:highlight w:val="none"/>
              </w:rPr>
              <w:t>招标文件</w:t>
            </w:r>
            <w:r>
              <w:rPr>
                <w:rFonts w:ascii="宋体" w:hAnsi="宋体"/>
                <w:szCs w:val="21"/>
                <w:highlight w:val="none"/>
              </w:rPr>
              <w:t>要求</w:t>
            </w:r>
          </w:p>
        </w:tc>
        <w:tc>
          <w:tcPr>
            <w:tcW w:w="894" w:type="dxa"/>
            <w:vAlign w:val="center"/>
          </w:tcPr>
          <w:p>
            <w:pPr>
              <w:jc w:val="center"/>
              <w:rPr>
                <w:rFonts w:ascii="宋体" w:hAnsi="宋体" w:cs="Arial"/>
                <w:iCs/>
                <w:szCs w:val="21"/>
                <w:highlight w:val="none"/>
              </w:rPr>
            </w:pPr>
            <w:r>
              <w:rPr>
                <w:rFonts w:hint="eastAsia" w:ascii="宋体" w:hAnsi="宋体" w:cs="Arial"/>
                <w:iCs/>
                <w:szCs w:val="21"/>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jc w:val="center"/>
              <w:rPr>
                <w:rFonts w:ascii="宋体" w:hAnsi="宋体" w:cs="Arial"/>
                <w:iCs/>
                <w:szCs w:val="21"/>
                <w:highlight w:val="none"/>
              </w:rPr>
            </w:pPr>
          </w:p>
        </w:tc>
        <w:tc>
          <w:tcPr>
            <w:tcW w:w="1531" w:type="dxa"/>
            <w:vMerge w:val="continue"/>
            <w:vAlign w:val="center"/>
          </w:tcPr>
          <w:p>
            <w:pPr>
              <w:jc w:val="center"/>
              <w:rPr>
                <w:rFonts w:ascii="宋体" w:hAnsi="宋体" w:cs="Arial"/>
                <w:iCs/>
                <w:szCs w:val="21"/>
                <w:highlight w:val="none"/>
              </w:rPr>
            </w:pPr>
          </w:p>
        </w:tc>
        <w:tc>
          <w:tcPr>
            <w:tcW w:w="6625" w:type="dxa"/>
            <w:vAlign w:val="center"/>
          </w:tcPr>
          <w:p>
            <w:pPr>
              <w:rPr>
                <w:rFonts w:ascii="宋体" w:hAnsi="宋体" w:cs="仿宋_GB2312"/>
                <w:kern w:val="3"/>
                <w:szCs w:val="21"/>
                <w:highlight w:val="none"/>
              </w:rPr>
            </w:pPr>
            <w:r>
              <w:rPr>
                <w:rFonts w:hint="eastAsia" w:ascii="宋体" w:hAnsi="宋体" w:cs="仿宋_GB2312"/>
                <w:kern w:val="3"/>
                <w:szCs w:val="21"/>
                <w:highlight w:val="none"/>
              </w:rPr>
              <w:t>活动中重点及难点分析（4分）</w:t>
            </w:r>
          </w:p>
          <w:p>
            <w:pPr>
              <w:rPr>
                <w:rFonts w:ascii="宋体" w:hAnsi="宋体" w:cs="仿宋_GB2312"/>
                <w:kern w:val="3"/>
                <w:szCs w:val="21"/>
                <w:highlight w:val="none"/>
              </w:rPr>
            </w:pPr>
            <w:r>
              <w:rPr>
                <w:rFonts w:hint="eastAsia" w:ascii="宋体" w:hAnsi="宋体" w:cs="仿宋_GB2312"/>
                <w:kern w:val="3"/>
                <w:szCs w:val="21"/>
                <w:highlight w:val="none"/>
              </w:rPr>
              <w:t>结合活动情况，进行全面且客观的重点难点分析；且针对各风险点有可行的操作建议和解决方案</w:t>
            </w:r>
          </w:p>
        </w:tc>
        <w:tc>
          <w:tcPr>
            <w:tcW w:w="894" w:type="dxa"/>
            <w:vAlign w:val="center"/>
          </w:tcPr>
          <w:p>
            <w:pPr>
              <w:jc w:val="center"/>
              <w:rPr>
                <w:rFonts w:ascii="宋体" w:hAnsi="宋体" w:cs="Arial"/>
                <w:iCs/>
                <w:szCs w:val="21"/>
                <w:highlight w:val="none"/>
              </w:rPr>
            </w:pPr>
            <w:r>
              <w:rPr>
                <w:rFonts w:ascii="宋体" w:hAnsi="宋体" w:cs="Arial"/>
                <w:iCs/>
                <w:szCs w:val="21"/>
                <w:highlight w:val="none"/>
              </w:rPr>
              <w:t>0-</w:t>
            </w:r>
            <w:r>
              <w:rPr>
                <w:rFonts w:hint="eastAsia" w:ascii="宋体" w:hAnsi="宋体" w:cs="Arial"/>
                <w:iCs/>
                <w:szCs w:val="21"/>
                <w:highlight w:val="none"/>
              </w:rPr>
              <w:t>4</w:t>
            </w:r>
          </w:p>
        </w:tc>
      </w:tr>
    </w:tbl>
    <w:p>
      <w:pPr>
        <w:pStyle w:val="39"/>
        <w:ind w:firstLine="480"/>
        <w:rPr>
          <w:rFonts w:ascii="宋体" w:hAnsi="宋体"/>
          <w:highlight w:val="none"/>
        </w:rPr>
      </w:pPr>
    </w:p>
    <w:p>
      <w:pPr>
        <w:pStyle w:val="39"/>
        <w:ind w:firstLine="480"/>
        <w:rPr>
          <w:rFonts w:ascii="宋体" w:hAnsi="宋体"/>
          <w:highlight w:val="none"/>
        </w:rPr>
      </w:pPr>
    </w:p>
    <w:p>
      <w:pPr>
        <w:pStyle w:val="39"/>
        <w:ind w:firstLine="480"/>
        <w:rPr>
          <w:rFonts w:ascii="宋体" w:hAnsi="宋体"/>
          <w:highlight w:val="none"/>
        </w:rPr>
      </w:pPr>
    </w:p>
    <w:p>
      <w:pPr>
        <w:pStyle w:val="39"/>
        <w:ind w:firstLine="480"/>
        <w:rPr>
          <w:rFonts w:ascii="宋体" w:hAnsi="宋体"/>
          <w:highlight w:val="none"/>
        </w:rPr>
      </w:pPr>
    </w:p>
    <w:p>
      <w:pPr>
        <w:pStyle w:val="39"/>
        <w:ind w:firstLine="480"/>
        <w:rPr>
          <w:rFonts w:ascii="宋体" w:hAnsi="宋体"/>
          <w:highlight w:val="none"/>
        </w:rPr>
      </w:pPr>
    </w:p>
    <w:p>
      <w:pPr>
        <w:pStyle w:val="39"/>
        <w:ind w:firstLine="480"/>
        <w:rPr>
          <w:rFonts w:ascii="宋体" w:hAnsi="宋体"/>
          <w:highlight w:val="none"/>
        </w:rPr>
      </w:pPr>
    </w:p>
    <w:p>
      <w:pPr>
        <w:pStyle w:val="39"/>
        <w:ind w:firstLine="480"/>
        <w:rPr>
          <w:rFonts w:ascii="宋体" w:hAnsi="宋体"/>
          <w:highlight w:val="none"/>
        </w:rPr>
      </w:pPr>
    </w:p>
    <w:p>
      <w:pPr>
        <w:pStyle w:val="39"/>
        <w:ind w:firstLine="480"/>
        <w:rPr>
          <w:rFonts w:ascii="宋体" w:hAnsi="宋体"/>
          <w:highlight w:val="none"/>
        </w:rPr>
      </w:pPr>
    </w:p>
    <w:p>
      <w:pPr>
        <w:pStyle w:val="39"/>
        <w:ind w:firstLine="480"/>
        <w:rPr>
          <w:rFonts w:ascii="宋体" w:hAnsi="宋体"/>
          <w:highlight w:val="none"/>
        </w:rPr>
      </w:pPr>
    </w:p>
    <w:p>
      <w:pPr>
        <w:pStyle w:val="2"/>
        <w:spacing w:before="0" w:after="0" w:line="360" w:lineRule="auto"/>
        <w:jc w:val="left"/>
        <w:rPr>
          <w:rFonts w:ascii="宋体" w:hAnsi="宋体"/>
          <w:kern w:val="2"/>
          <w:sz w:val="28"/>
          <w:szCs w:val="32"/>
          <w:highlight w:val="none"/>
        </w:rPr>
      </w:pPr>
      <w:r>
        <w:rPr>
          <w:rFonts w:hint="eastAsia" w:ascii="宋体" w:hAnsi="宋体"/>
          <w:kern w:val="2"/>
          <w:sz w:val="28"/>
          <w:szCs w:val="32"/>
          <w:highlight w:val="none"/>
          <w:lang w:val="en-US" w:eastAsia="zh-CN"/>
        </w:rPr>
        <w:t xml:space="preserve">8 </w:t>
      </w:r>
      <w:r>
        <w:rPr>
          <w:rFonts w:hint="eastAsia" w:ascii="宋体" w:hAnsi="宋体"/>
          <w:kern w:val="2"/>
          <w:sz w:val="28"/>
          <w:szCs w:val="32"/>
          <w:highlight w:val="none"/>
        </w:rPr>
        <w:t>拟</w:t>
      </w:r>
      <w:r>
        <w:rPr>
          <w:rFonts w:ascii="宋体" w:hAnsi="宋体"/>
          <w:kern w:val="2"/>
          <w:sz w:val="28"/>
          <w:szCs w:val="32"/>
          <w:highlight w:val="none"/>
        </w:rPr>
        <w:t>签订合同</w:t>
      </w:r>
      <w:r>
        <w:rPr>
          <w:rFonts w:hint="eastAsia" w:ascii="宋体" w:hAnsi="宋体"/>
          <w:kern w:val="2"/>
          <w:sz w:val="28"/>
          <w:szCs w:val="32"/>
          <w:highlight w:val="none"/>
        </w:rPr>
        <w:t>文本</w:t>
      </w:r>
    </w:p>
    <w:p>
      <w:pPr>
        <w:rPr>
          <w:highlight w:val="none"/>
        </w:rPr>
      </w:pPr>
    </w:p>
    <w:p>
      <w:pPr>
        <w:spacing w:line="348" w:lineRule="auto"/>
        <w:jc w:val="center"/>
        <w:rPr>
          <w:rFonts w:ascii="宋体" w:hAnsi="宋体"/>
          <w:b/>
          <w:sz w:val="36"/>
          <w:szCs w:val="36"/>
          <w:highlight w:val="none"/>
        </w:rPr>
      </w:pPr>
      <w:r>
        <w:rPr>
          <w:rFonts w:hint="eastAsia" w:ascii="宋体" w:hAnsi="宋体"/>
          <w:b/>
          <w:sz w:val="36"/>
          <w:szCs w:val="36"/>
          <w:highlight w:val="none"/>
        </w:rPr>
        <w:t>委托服务合同书</w:t>
      </w:r>
    </w:p>
    <w:p>
      <w:pPr>
        <w:spacing w:line="348" w:lineRule="auto"/>
        <w:rPr>
          <w:sz w:val="28"/>
          <w:szCs w:val="28"/>
          <w:highlight w:val="none"/>
        </w:rPr>
      </w:pPr>
    </w:p>
    <w:p>
      <w:pPr>
        <w:spacing w:line="348" w:lineRule="auto"/>
        <w:rPr>
          <w:rFonts w:ascii="宋体" w:hAnsi="宋体"/>
          <w:sz w:val="24"/>
          <w:highlight w:val="none"/>
        </w:rPr>
      </w:pPr>
      <w:r>
        <w:rPr>
          <w:rFonts w:hint="eastAsia" w:ascii="宋体" w:hAnsi="宋体"/>
          <w:sz w:val="24"/>
          <w:highlight w:val="none"/>
        </w:rPr>
        <w:t>甲方：</w:t>
      </w:r>
      <w:r>
        <w:rPr>
          <w:rFonts w:ascii="宋体" w:hAnsi="宋体"/>
          <w:sz w:val="24"/>
          <w:highlight w:val="none"/>
        </w:rPr>
        <w:t xml:space="preserve"> </w:t>
      </w:r>
      <w:r>
        <w:rPr>
          <w:rFonts w:hint="eastAsia" w:ascii="宋体" w:hAnsi="宋体"/>
          <w:sz w:val="24"/>
          <w:highlight w:val="none"/>
        </w:rPr>
        <w:t xml:space="preserve">                              乙方：</w:t>
      </w:r>
    </w:p>
    <w:p>
      <w:pPr>
        <w:spacing w:line="348" w:lineRule="auto"/>
        <w:rPr>
          <w:rFonts w:ascii="宋体" w:hAnsi="宋体"/>
          <w:sz w:val="24"/>
          <w:highlight w:val="none"/>
        </w:rPr>
      </w:pPr>
      <w:r>
        <w:rPr>
          <w:rFonts w:hint="eastAsia" w:ascii="宋体" w:hAnsi="宋体"/>
          <w:sz w:val="24"/>
          <w:highlight w:val="none"/>
        </w:rPr>
        <w:t>地址：                               地址：</w:t>
      </w:r>
    </w:p>
    <w:p>
      <w:pPr>
        <w:spacing w:line="348" w:lineRule="auto"/>
        <w:rPr>
          <w:rFonts w:ascii="宋体" w:hAnsi="宋体"/>
          <w:sz w:val="24"/>
          <w:highlight w:val="none"/>
        </w:rPr>
      </w:pPr>
    </w:p>
    <w:p>
      <w:pPr>
        <w:spacing w:line="348" w:lineRule="auto"/>
        <w:ind w:firstLine="480" w:firstLineChars="200"/>
        <w:rPr>
          <w:rFonts w:ascii="宋体" w:hAnsi="宋体"/>
          <w:sz w:val="24"/>
          <w:highlight w:val="none"/>
        </w:rPr>
      </w:pPr>
      <w:r>
        <w:rPr>
          <w:rFonts w:hint="eastAsia" w:ascii="宋体" w:hAnsi="宋体"/>
          <w:sz w:val="24"/>
          <w:highlight w:val="none"/>
        </w:rPr>
        <w:t>甲、乙双方根据《中华人民共和国合同法》及相关法律法规规定，本着平等互利、友好合作的原则，经协商一致，就甲方委托乙方负责本项目相关服务事宜，达成以下合同条款：</w:t>
      </w:r>
    </w:p>
    <w:p>
      <w:pPr>
        <w:spacing w:line="348" w:lineRule="auto"/>
        <w:ind w:left="3125" w:hanging="3125" w:hangingChars="1297"/>
        <w:jc w:val="left"/>
        <w:rPr>
          <w:rFonts w:ascii="宋体" w:hAnsi="宋体"/>
          <w:b/>
          <w:bCs/>
          <w:sz w:val="24"/>
          <w:highlight w:val="none"/>
        </w:rPr>
      </w:pPr>
      <w:r>
        <w:rPr>
          <w:rFonts w:hint="eastAsia" w:ascii="宋体" w:hAnsi="宋体"/>
          <w:b/>
          <w:bCs/>
          <w:sz w:val="24"/>
          <w:highlight w:val="none"/>
        </w:rPr>
        <w:t>一、委托服务事项：</w:t>
      </w:r>
    </w:p>
    <w:p>
      <w:pPr>
        <w:pStyle w:val="31"/>
        <w:shd w:val="clear" w:color="auto" w:fill="FFFFFF"/>
        <w:spacing w:before="0" w:beforeAutospacing="0" w:after="0" w:afterAutospacing="0" w:line="348" w:lineRule="auto"/>
        <w:rPr>
          <w:highlight w:val="none"/>
        </w:rPr>
      </w:pPr>
      <w:r>
        <w:rPr>
          <w:rFonts w:hint="eastAsia"/>
          <w:kern w:val="2"/>
          <w:highlight w:val="none"/>
        </w:rPr>
        <w:t>项目名称：</w:t>
      </w:r>
    </w:p>
    <w:p>
      <w:pPr>
        <w:pStyle w:val="31"/>
        <w:shd w:val="clear" w:color="auto" w:fill="FFFFFF"/>
        <w:spacing w:before="0" w:beforeAutospacing="0" w:after="0" w:afterAutospacing="0" w:line="348" w:lineRule="auto"/>
        <w:jc w:val="both"/>
        <w:rPr>
          <w:kern w:val="2"/>
          <w:highlight w:val="none"/>
        </w:rPr>
      </w:pPr>
      <w:r>
        <w:rPr>
          <w:rFonts w:hint="eastAsia"/>
          <w:kern w:val="2"/>
          <w:highlight w:val="none"/>
        </w:rPr>
        <w:t>服务日期：</w:t>
      </w:r>
      <w:r>
        <w:rPr>
          <w:kern w:val="2"/>
          <w:highlight w:val="none"/>
          <w:u w:val="single"/>
        </w:rPr>
        <w:t xml:space="preserve">                </w:t>
      </w:r>
      <w:r>
        <w:rPr>
          <w:rFonts w:hint="eastAsia"/>
          <w:kern w:val="2"/>
          <w:highlight w:val="none"/>
        </w:rPr>
        <w:t xml:space="preserve"> </w:t>
      </w:r>
      <w:r>
        <w:rPr>
          <w:kern w:val="2"/>
          <w:highlight w:val="none"/>
        </w:rPr>
        <w:t xml:space="preserve">  </w:t>
      </w:r>
    </w:p>
    <w:p>
      <w:pPr>
        <w:spacing w:line="348" w:lineRule="auto"/>
        <w:rPr>
          <w:rFonts w:ascii="宋体" w:hAnsi="宋体"/>
          <w:sz w:val="24"/>
          <w:highlight w:val="none"/>
          <w:u w:val="single"/>
        </w:rPr>
      </w:pPr>
      <w:r>
        <w:rPr>
          <w:rFonts w:hint="eastAsia" w:ascii="宋体" w:hAnsi="宋体"/>
          <w:sz w:val="24"/>
          <w:highlight w:val="none"/>
        </w:rPr>
        <w:t>服务地点：</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rPr>
        <w:t xml:space="preserve"> </w:t>
      </w:r>
      <w:r>
        <w:rPr>
          <w:rFonts w:ascii="宋体" w:hAnsi="宋体"/>
          <w:sz w:val="24"/>
          <w:highlight w:val="none"/>
        </w:rPr>
        <w:t xml:space="preserve"> </w:t>
      </w:r>
    </w:p>
    <w:p>
      <w:pPr>
        <w:spacing w:line="348" w:lineRule="auto"/>
        <w:ind w:left="3113" w:hanging="3113" w:hangingChars="1297"/>
        <w:rPr>
          <w:rFonts w:ascii="宋体" w:hAnsi="宋体"/>
          <w:sz w:val="24"/>
          <w:highlight w:val="none"/>
          <w:u w:val="single"/>
        </w:rPr>
      </w:pPr>
      <w:r>
        <w:rPr>
          <w:rFonts w:hint="eastAsia" w:ascii="宋体" w:hAnsi="宋体"/>
          <w:sz w:val="24"/>
          <w:highlight w:val="none"/>
        </w:rPr>
        <w:t>服务期：</w:t>
      </w:r>
      <w:r>
        <w:rPr>
          <w:rFonts w:hint="eastAsia" w:ascii="宋体" w:hAnsi="宋体"/>
          <w:sz w:val="24"/>
          <w:highlight w:val="none"/>
          <w:u w:val="single"/>
        </w:rPr>
        <w:t xml:space="preserve"> 2019年  </w:t>
      </w:r>
      <w:r>
        <w:rPr>
          <w:rFonts w:ascii="宋体" w:hAnsi="宋体"/>
          <w:sz w:val="24"/>
          <w:highlight w:val="none"/>
          <w:u w:val="single"/>
        </w:rPr>
        <w:t xml:space="preserve"> </w:t>
      </w:r>
      <w:r>
        <w:rPr>
          <w:rFonts w:hint="eastAsia" w:ascii="宋体" w:hAnsi="宋体"/>
          <w:sz w:val="24"/>
          <w:highlight w:val="none"/>
          <w:u w:val="single"/>
        </w:rPr>
        <w:t>月   日至</w:t>
      </w:r>
      <w:r>
        <w:rPr>
          <w:rFonts w:hint="eastAsia" w:ascii="宋体" w:hAnsi="宋体"/>
          <w:sz w:val="24"/>
          <w:highlight w:val="none"/>
          <w:u w:val="single"/>
          <w:lang w:val="en-US" w:eastAsia="zh-CN"/>
        </w:rPr>
        <w:t>2020</w:t>
      </w:r>
      <w:r>
        <w:rPr>
          <w:rFonts w:hint="eastAsia" w:ascii="宋体" w:hAnsi="宋体"/>
          <w:sz w:val="24"/>
          <w:highlight w:val="none"/>
          <w:u w:val="single"/>
        </w:rPr>
        <w:t>年</w:t>
      </w:r>
      <w:r>
        <w:rPr>
          <w:rFonts w:hint="eastAsia" w:ascii="宋体" w:hAnsi="宋体"/>
          <w:sz w:val="24"/>
          <w:highlight w:val="none"/>
          <w:u w:val="single"/>
          <w:lang w:val="en-US" w:eastAsia="zh-CN"/>
        </w:rPr>
        <w:t>10</w:t>
      </w:r>
      <w:r>
        <w:rPr>
          <w:rFonts w:hint="eastAsia" w:ascii="宋体" w:hAnsi="宋体"/>
          <w:sz w:val="24"/>
          <w:highlight w:val="none"/>
          <w:u w:val="single"/>
        </w:rPr>
        <w:t>月</w:t>
      </w:r>
      <w:r>
        <w:rPr>
          <w:rFonts w:hint="eastAsia" w:ascii="宋体" w:hAnsi="宋体"/>
          <w:sz w:val="24"/>
          <w:highlight w:val="none"/>
          <w:u w:val="single"/>
          <w:lang w:val="en-US" w:eastAsia="zh-CN"/>
        </w:rPr>
        <w:t>31</w:t>
      </w:r>
      <w:r>
        <w:rPr>
          <w:rFonts w:hint="eastAsia" w:ascii="宋体" w:hAnsi="宋体"/>
          <w:sz w:val="24"/>
          <w:highlight w:val="none"/>
          <w:u w:val="single"/>
        </w:rPr>
        <w:t>日。</w:t>
      </w:r>
    </w:p>
    <w:p>
      <w:pPr>
        <w:spacing w:line="348" w:lineRule="auto"/>
        <w:ind w:left="3125" w:hanging="3125" w:hangingChars="1297"/>
        <w:jc w:val="left"/>
        <w:rPr>
          <w:rFonts w:ascii="宋体" w:hAnsi="宋体"/>
          <w:sz w:val="24"/>
          <w:highlight w:val="none"/>
          <w:u w:val="single"/>
        </w:rPr>
      </w:pPr>
      <w:r>
        <w:rPr>
          <w:rFonts w:hint="eastAsia" w:ascii="宋体" w:hAnsi="宋体"/>
          <w:b/>
          <w:bCs/>
          <w:sz w:val="24"/>
          <w:highlight w:val="none"/>
        </w:rPr>
        <w:t>二、双方的权利和义务：</w:t>
      </w:r>
    </w:p>
    <w:p>
      <w:pPr>
        <w:spacing w:line="348" w:lineRule="auto"/>
        <w:ind w:firstLine="480" w:firstLineChars="200"/>
        <w:rPr>
          <w:rFonts w:ascii="宋体" w:hAnsi="宋体"/>
          <w:bCs/>
          <w:sz w:val="24"/>
          <w:highlight w:val="none"/>
        </w:rPr>
      </w:pPr>
      <w:r>
        <w:rPr>
          <w:rFonts w:hint="eastAsia" w:ascii="宋体" w:hAnsi="宋体"/>
          <w:bCs/>
          <w:sz w:val="24"/>
          <w:highlight w:val="none"/>
        </w:rPr>
        <w:t>1. 甲方权利与义务</w:t>
      </w:r>
    </w:p>
    <w:p>
      <w:pPr>
        <w:spacing w:line="348" w:lineRule="auto"/>
        <w:ind w:firstLine="480" w:firstLineChars="200"/>
        <w:rPr>
          <w:rFonts w:ascii="宋体" w:hAnsi="宋体"/>
          <w:sz w:val="24"/>
          <w:highlight w:val="none"/>
        </w:rPr>
      </w:pPr>
      <w:r>
        <w:rPr>
          <w:rFonts w:hint="eastAsia" w:ascii="宋体" w:hAnsi="宋体"/>
          <w:sz w:val="24"/>
          <w:highlight w:val="none"/>
        </w:rPr>
        <w:t>1.1</w:t>
      </w:r>
      <w:r>
        <w:rPr>
          <w:rFonts w:ascii="宋体" w:hAnsi="宋体"/>
          <w:sz w:val="24"/>
          <w:highlight w:val="none"/>
        </w:rPr>
        <w:t>甲方给乙方出具承办本次活动委托授权书，确保乙方</w:t>
      </w:r>
      <w:r>
        <w:rPr>
          <w:rFonts w:hint="eastAsia" w:ascii="宋体" w:hAnsi="宋体"/>
          <w:sz w:val="24"/>
          <w:highlight w:val="none"/>
        </w:rPr>
        <w:t>能够开展工作。</w:t>
      </w:r>
      <w:r>
        <w:rPr>
          <w:rFonts w:ascii="宋体" w:hAnsi="宋体"/>
          <w:sz w:val="24"/>
          <w:highlight w:val="none"/>
        </w:rPr>
        <w:br w:type="textWrapping"/>
      </w:r>
      <w:r>
        <w:rPr>
          <w:rFonts w:ascii="宋体" w:hAnsi="宋体"/>
          <w:sz w:val="24"/>
          <w:highlight w:val="none"/>
        </w:rPr>
        <w:t>甲方</w:t>
      </w:r>
      <w:r>
        <w:rPr>
          <w:rFonts w:hint="eastAsia" w:ascii="宋体" w:hAnsi="宋体"/>
          <w:sz w:val="24"/>
          <w:highlight w:val="none"/>
        </w:rPr>
        <w:t>应当</w:t>
      </w:r>
      <w:r>
        <w:rPr>
          <w:rFonts w:ascii="宋体" w:hAnsi="宋体"/>
          <w:sz w:val="24"/>
          <w:highlight w:val="none"/>
        </w:rPr>
        <w:t>履行主办单位的职责，积极配合乙方的宣传工作。如乙方需要与本次活动有关的文件甲方有责任积极配合。</w:t>
      </w:r>
    </w:p>
    <w:p>
      <w:pPr>
        <w:spacing w:line="348" w:lineRule="auto"/>
        <w:ind w:firstLine="480" w:firstLineChars="200"/>
        <w:rPr>
          <w:rFonts w:ascii="宋体" w:hAnsi="宋体"/>
          <w:sz w:val="24"/>
          <w:highlight w:val="none"/>
        </w:rPr>
      </w:pPr>
      <w:r>
        <w:rPr>
          <w:rFonts w:hint="eastAsia" w:ascii="宋体" w:hAnsi="宋体"/>
          <w:sz w:val="24"/>
          <w:highlight w:val="none"/>
        </w:rPr>
        <w:t>1.2甲方应按合同要求按时支付委托服务款项。</w:t>
      </w:r>
    </w:p>
    <w:p>
      <w:pPr>
        <w:spacing w:line="348" w:lineRule="auto"/>
        <w:ind w:firstLine="480" w:firstLineChars="200"/>
        <w:rPr>
          <w:rFonts w:ascii="宋体" w:hAnsi="宋体"/>
          <w:sz w:val="24"/>
          <w:highlight w:val="none"/>
        </w:rPr>
      </w:pPr>
      <w:r>
        <w:rPr>
          <w:rFonts w:hint="eastAsia" w:ascii="宋体" w:hAnsi="宋体"/>
          <w:sz w:val="24"/>
          <w:highlight w:val="none"/>
        </w:rPr>
        <w:t>2. 乙方权利与义务</w:t>
      </w:r>
    </w:p>
    <w:p>
      <w:pPr>
        <w:spacing w:line="348" w:lineRule="auto"/>
        <w:ind w:firstLine="480" w:firstLineChars="200"/>
        <w:rPr>
          <w:rFonts w:ascii="宋体" w:hAnsi="宋体"/>
          <w:sz w:val="24"/>
          <w:highlight w:val="none"/>
        </w:rPr>
      </w:pPr>
      <w:r>
        <w:rPr>
          <w:rFonts w:hint="eastAsia" w:ascii="宋体" w:hAnsi="宋体"/>
          <w:sz w:val="24"/>
          <w:highlight w:val="none"/>
        </w:rPr>
        <w:t>2.1</w:t>
      </w:r>
      <w:r>
        <w:rPr>
          <w:rFonts w:ascii="宋体" w:hAnsi="宋体"/>
          <w:sz w:val="24"/>
          <w:highlight w:val="none"/>
        </w:rPr>
        <w:t>乙方作为</w:t>
      </w:r>
      <w:r>
        <w:rPr>
          <w:rFonts w:hint="eastAsia" w:ascii="宋体" w:hAnsi="宋体"/>
          <w:sz w:val="24"/>
          <w:highlight w:val="none"/>
        </w:rPr>
        <w:t>受托</w:t>
      </w:r>
      <w:r>
        <w:rPr>
          <w:rFonts w:ascii="宋体" w:hAnsi="宋体"/>
          <w:sz w:val="24"/>
          <w:highlight w:val="none"/>
        </w:rPr>
        <w:t>承办</w:t>
      </w:r>
      <w:r>
        <w:rPr>
          <w:rFonts w:hint="eastAsia" w:ascii="宋体" w:hAnsi="宋体"/>
          <w:sz w:val="24"/>
          <w:highlight w:val="none"/>
        </w:rPr>
        <w:t>单位</w:t>
      </w:r>
      <w:r>
        <w:rPr>
          <w:rFonts w:ascii="宋体" w:hAnsi="宋体"/>
          <w:sz w:val="24"/>
          <w:highlight w:val="none"/>
        </w:rPr>
        <w:t>有权</w:t>
      </w:r>
      <w:r>
        <w:rPr>
          <w:rFonts w:hint="eastAsia" w:ascii="宋体" w:hAnsi="宋体"/>
          <w:sz w:val="24"/>
          <w:highlight w:val="none"/>
        </w:rPr>
        <w:t>就该项活动相关展览内容</w:t>
      </w:r>
      <w:r>
        <w:rPr>
          <w:rFonts w:ascii="宋体" w:hAnsi="宋体"/>
          <w:sz w:val="24"/>
          <w:highlight w:val="none"/>
        </w:rPr>
        <w:t>对社会公布，</w:t>
      </w:r>
      <w:r>
        <w:rPr>
          <w:rFonts w:hint="eastAsia" w:ascii="宋体" w:hAnsi="宋体"/>
          <w:sz w:val="24"/>
          <w:highlight w:val="none"/>
        </w:rPr>
        <w:t>进一步加大宣传力度。</w:t>
      </w:r>
    </w:p>
    <w:p>
      <w:pPr>
        <w:spacing w:line="348" w:lineRule="auto"/>
        <w:ind w:firstLine="480" w:firstLineChars="200"/>
        <w:rPr>
          <w:rFonts w:ascii="宋体" w:hAnsi="宋体"/>
          <w:sz w:val="24"/>
          <w:highlight w:val="none"/>
        </w:rPr>
      </w:pPr>
      <w:r>
        <w:rPr>
          <w:rFonts w:hint="eastAsia" w:ascii="宋体" w:hAnsi="宋体"/>
          <w:sz w:val="24"/>
          <w:highlight w:val="none"/>
        </w:rPr>
        <w:t>2.2</w:t>
      </w:r>
      <w:r>
        <w:rPr>
          <w:rFonts w:ascii="宋体" w:hAnsi="宋体"/>
          <w:sz w:val="24"/>
          <w:highlight w:val="none"/>
        </w:rPr>
        <w:t>为确保活动得到有效管理，乙方不得</w:t>
      </w:r>
      <w:r>
        <w:rPr>
          <w:rFonts w:hint="eastAsia" w:ascii="宋体" w:hAnsi="宋体"/>
          <w:sz w:val="24"/>
          <w:highlight w:val="none"/>
        </w:rPr>
        <w:t>将本项活动</w:t>
      </w:r>
      <w:r>
        <w:rPr>
          <w:rFonts w:ascii="宋体" w:hAnsi="宋体"/>
          <w:sz w:val="24"/>
          <w:highlight w:val="none"/>
        </w:rPr>
        <w:t>转让或委托第三方</w:t>
      </w:r>
      <w:r>
        <w:rPr>
          <w:rFonts w:hint="eastAsia" w:ascii="宋体" w:hAnsi="宋体"/>
          <w:sz w:val="24"/>
          <w:highlight w:val="none"/>
        </w:rPr>
        <w:t>办理。未经甲方同意不得将本次展览活动的信息向任何人任何单位泄露，特别是有关涉及的个人信息。</w:t>
      </w:r>
      <w:r>
        <w:rPr>
          <w:rFonts w:ascii="宋体" w:hAnsi="宋体"/>
          <w:sz w:val="24"/>
          <w:highlight w:val="none"/>
        </w:rPr>
        <w:br w:type="textWrapping"/>
      </w:r>
      <w:r>
        <w:rPr>
          <w:rFonts w:ascii="宋体" w:hAnsi="宋体"/>
          <w:sz w:val="24"/>
          <w:highlight w:val="none"/>
        </w:rPr>
        <w:t xml:space="preserve">    </w:t>
      </w:r>
      <w:r>
        <w:rPr>
          <w:rFonts w:hint="eastAsia" w:ascii="宋体" w:hAnsi="宋体"/>
          <w:sz w:val="24"/>
          <w:highlight w:val="none"/>
        </w:rPr>
        <w:t>2.3乙方接受甲方委托后，应当将本项活动的整体策划方案和实施步骤以书面形式提交给甲方审核通过，按照方案执行；展览及创作活动的费用支出预算提交给甲方备案，</w:t>
      </w:r>
      <w:r>
        <w:rPr>
          <w:rFonts w:ascii="宋体" w:hAnsi="宋体"/>
          <w:sz w:val="24"/>
          <w:highlight w:val="none"/>
        </w:rPr>
        <w:t>涉及到</w:t>
      </w:r>
      <w:r>
        <w:rPr>
          <w:rFonts w:hint="eastAsia" w:ascii="宋体" w:hAnsi="宋体"/>
          <w:sz w:val="24"/>
          <w:highlight w:val="none"/>
        </w:rPr>
        <w:t>活动</w:t>
      </w:r>
      <w:r>
        <w:rPr>
          <w:rFonts w:ascii="宋体" w:hAnsi="宋体"/>
          <w:sz w:val="24"/>
          <w:highlight w:val="none"/>
        </w:rPr>
        <w:t>方案的调整与修改</w:t>
      </w:r>
      <w:r>
        <w:rPr>
          <w:rFonts w:hint="eastAsia" w:ascii="宋体" w:hAnsi="宋体"/>
          <w:sz w:val="24"/>
          <w:highlight w:val="none"/>
        </w:rPr>
        <w:t>应当</w:t>
      </w:r>
      <w:r>
        <w:rPr>
          <w:rFonts w:ascii="宋体" w:hAnsi="宋体"/>
          <w:sz w:val="24"/>
          <w:highlight w:val="none"/>
        </w:rPr>
        <w:t>向甲方</w:t>
      </w:r>
      <w:r>
        <w:rPr>
          <w:rFonts w:hint="eastAsia" w:ascii="宋体" w:hAnsi="宋体"/>
          <w:sz w:val="24"/>
          <w:highlight w:val="none"/>
        </w:rPr>
        <w:t>书面申报</w:t>
      </w:r>
      <w:r>
        <w:rPr>
          <w:rFonts w:ascii="宋体" w:hAnsi="宋体"/>
          <w:sz w:val="24"/>
          <w:highlight w:val="none"/>
        </w:rPr>
        <w:t>并得到甲方的认可。</w:t>
      </w:r>
      <w:r>
        <w:rPr>
          <w:rFonts w:ascii="宋体" w:hAnsi="宋体"/>
          <w:sz w:val="24"/>
          <w:highlight w:val="none"/>
        </w:rPr>
        <w:br w:type="textWrapping"/>
      </w:r>
      <w:r>
        <w:rPr>
          <w:rFonts w:ascii="宋体" w:hAnsi="宋体"/>
          <w:sz w:val="24"/>
          <w:highlight w:val="none"/>
        </w:rPr>
        <w:t xml:space="preserve">    </w:t>
      </w:r>
      <w:r>
        <w:rPr>
          <w:rFonts w:hint="eastAsia" w:ascii="宋体" w:hAnsi="宋体"/>
          <w:sz w:val="24"/>
          <w:highlight w:val="none"/>
        </w:rPr>
        <w:t>2.4乙方积极配合参加甲方就设计方案的有关事项组织的相关会议，尊重甲方对设计方案的修改意见，直至方案最终确定。</w:t>
      </w:r>
    </w:p>
    <w:p>
      <w:pPr>
        <w:spacing w:line="348" w:lineRule="auto"/>
        <w:ind w:left="3125" w:hanging="3125" w:hangingChars="1297"/>
        <w:jc w:val="left"/>
        <w:rPr>
          <w:rFonts w:ascii="宋体" w:hAnsi="宋体"/>
          <w:b/>
          <w:bCs/>
          <w:sz w:val="24"/>
          <w:highlight w:val="none"/>
        </w:rPr>
      </w:pPr>
      <w:r>
        <w:rPr>
          <w:rFonts w:hint="eastAsia" w:ascii="宋体" w:hAnsi="宋体"/>
          <w:b/>
          <w:bCs/>
          <w:sz w:val="24"/>
          <w:highlight w:val="none"/>
        </w:rPr>
        <w:t>三、委托服务费用及付款方式：</w:t>
      </w:r>
    </w:p>
    <w:p>
      <w:pPr>
        <w:spacing w:line="348" w:lineRule="auto"/>
        <w:ind w:firstLine="480" w:firstLineChars="200"/>
        <w:rPr>
          <w:rFonts w:ascii="宋体" w:hAnsi="宋体"/>
          <w:bCs/>
          <w:sz w:val="24"/>
          <w:highlight w:val="none"/>
        </w:rPr>
      </w:pPr>
      <w:r>
        <w:rPr>
          <w:rFonts w:hint="eastAsia" w:ascii="宋体" w:hAnsi="宋体"/>
          <w:bCs/>
          <w:sz w:val="24"/>
          <w:highlight w:val="none"/>
        </w:rPr>
        <w:t>1. 本项活动的委托服务费用总额（含税）共计：人民币 大写</w:t>
      </w:r>
      <w:r>
        <w:rPr>
          <w:rFonts w:hint="eastAsia" w:ascii="宋体" w:hAnsi="宋体"/>
          <w:bCs/>
          <w:sz w:val="24"/>
          <w:highlight w:val="none"/>
          <w:u w:val="single"/>
        </w:rPr>
        <w:t xml:space="preserve">      </w:t>
      </w:r>
      <w:r>
        <w:rPr>
          <w:rFonts w:hint="eastAsia" w:ascii="宋体" w:hAnsi="宋体"/>
          <w:bCs/>
          <w:sz w:val="24"/>
          <w:highlight w:val="none"/>
        </w:rPr>
        <w:t>（即：¥</w:t>
      </w:r>
      <w:r>
        <w:rPr>
          <w:rFonts w:hint="eastAsia" w:ascii="宋体" w:hAnsi="宋体"/>
          <w:bCs/>
          <w:sz w:val="24"/>
          <w:highlight w:val="none"/>
          <w:u w:val="single"/>
        </w:rPr>
        <w:t xml:space="preserve">       </w:t>
      </w:r>
      <w:r>
        <w:rPr>
          <w:rFonts w:hint="eastAsia" w:ascii="宋体" w:hAnsi="宋体"/>
          <w:bCs/>
          <w:sz w:val="24"/>
          <w:highlight w:val="none"/>
        </w:rPr>
        <w:t>元），该费用包括了经双方确认的由乙方为完成甲方委托事项所定制方案（包括后期设计方案的修改与调整）的全部支出和花费，所涉及的交通费、食宿费、人员费等均包含在合同价款中。</w:t>
      </w:r>
    </w:p>
    <w:p>
      <w:pPr>
        <w:spacing w:line="348" w:lineRule="auto"/>
        <w:ind w:firstLine="480" w:firstLineChars="200"/>
        <w:rPr>
          <w:rFonts w:ascii="宋体" w:hAnsi="宋体"/>
          <w:bCs/>
          <w:sz w:val="24"/>
          <w:highlight w:val="none"/>
        </w:rPr>
      </w:pPr>
      <w:r>
        <w:rPr>
          <w:rFonts w:hint="eastAsia" w:ascii="宋体" w:hAnsi="宋体"/>
          <w:bCs/>
          <w:sz w:val="24"/>
          <w:highlight w:val="none"/>
        </w:rPr>
        <w:t>2. 付款方式：</w:t>
      </w:r>
    </w:p>
    <w:p>
      <w:pPr>
        <w:spacing w:line="348" w:lineRule="auto"/>
        <w:ind w:firstLine="480" w:firstLineChars="200"/>
        <w:rPr>
          <w:rFonts w:ascii="宋体" w:hAnsi="宋体"/>
          <w:bCs/>
          <w:sz w:val="24"/>
          <w:highlight w:val="none"/>
        </w:rPr>
      </w:pPr>
      <w:r>
        <w:rPr>
          <w:rFonts w:hint="eastAsia" w:ascii="宋体" w:hAnsi="宋体"/>
          <w:bCs/>
          <w:sz w:val="24"/>
          <w:highlight w:val="none"/>
        </w:rPr>
        <w:t>2.1本合同签订之日起十五个工作日内，甲方以转账支票形式支付项目费用总价的35</w:t>
      </w:r>
      <w:r>
        <w:rPr>
          <w:rFonts w:ascii="宋体" w:hAnsi="宋体"/>
          <w:bCs/>
          <w:sz w:val="24"/>
          <w:highlight w:val="none"/>
        </w:rPr>
        <w:t>%</w:t>
      </w:r>
      <w:r>
        <w:rPr>
          <w:rFonts w:hint="eastAsia" w:ascii="宋体" w:hAnsi="宋体"/>
          <w:bCs/>
          <w:sz w:val="24"/>
          <w:highlight w:val="none"/>
        </w:rPr>
        <w:t>，计人民币（大写）</w:t>
      </w:r>
      <w:r>
        <w:rPr>
          <w:rFonts w:hint="eastAsia" w:ascii="宋体" w:hAnsi="宋体"/>
          <w:bCs/>
          <w:sz w:val="24"/>
          <w:highlight w:val="none"/>
          <w:u w:val="single"/>
        </w:rPr>
        <w:t xml:space="preserve">         </w:t>
      </w:r>
      <w:r>
        <w:rPr>
          <w:rFonts w:hint="eastAsia" w:ascii="宋体" w:hAnsi="宋体"/>
          <w:bCs/>
          <w:sz w:val="24"/>
          <w:highlight w:val="none"/>
        </w:rPr>
        <w:t>（即：¥</w:t>
      </w:r>
      <w:r>
        <w:rPr>
          <w:rFonts w:hint="eastAsia" w:ascii="宋体" w:hAnsi="宋体"/>
          <w:bCs/>
          <w:sz w:val="24"/>
          <w:highlight w:val="none"/>
          <w:u w:val="single"/>
        </w:rPr>
        <w:t xml:space="preserve">   </w:t>
      </w:r>
      <w:r>
        <w:rPr>
          <w:rFonts w:ascii="宋体" w:hAnsi="宋体"/>
          <w:bCs/>
          <w:sz w:val="24"/>
          <w:highlight w:val="none"/>
          <w:u w:val="single"/>
        </w:rPr>
        <w:t xml:space="preserve">  </w:t>
      </w:r>
      <w:r>
        <w:rPr>
          <w:rFonts w:hint="eastAsia" w:ascii="宋体" w:hAnsi="宋体"/>
          <w:bCs/>
          <w:sz w:val="24"/>
          <w:highlight w:val="none"/>
          <w:u w:val="single"/>
        </w:rPr>
        <w:t xml:space="preserve">  </w:t>
      </w:r>
      <w:r>
        <w:rPr>
          <w:rFonts w:hint="eastAsia" w:ascii="宋体" w:hAnsi="宋体"/>
          <w:bCs/>
          <w:sz w:val="24"/>
          <w:highlight w:val="none"/>
        </w:rPr>
        <w:t>元），乙方向甲方开具正式发票。</w:t>
      </w:r>
    </w:p>
    <w:p>
      <w:pPr>
        <w:spacing w:line="348" w:lineRule="auto"/>
        <w:ind w:firstLine="480" w:firstLineChars="200"/>
        <w:rPr>
          <w:rFonts w:ascii="宋体" w:hAnsi="宋体"/>
          <w:bCs/>
          <w:sz w:val="24"/>
          <w:highlight w:val="none"/>
        </w:rPr>
      </w:pPr>
      <w:r>
        <w:rPr>
          <w:rFonts w:hint="eastAsia" w:ascii="宋体" w:hAnsi="宋体"/>
          <w:bCs/>
          <w:sz w:val="24"/>
          <w:highlight w:val="none"/>
        </w:rPr>
        <w:t>2.2 展览活动结束，经甲方对乙方工作绩效考核合格确认后，以转账支票形式支付总价的65%，计人民币（大写）</w:t>
      </w:r>
      <w:r>
        <w:rPr>
          <w:rFonts w:hint="eastAsia" w:ascii="宋体" w:hAnsi="宋体"/>
          <w:bCs/>
          <w:sz w:val="24"/>
          <w:highlight w:val="none"/>
          <w:u w:val="single"/>
        </w:rPr>
        <w:t xml:space="preserve">         </w:t>
      </w:r>
      <w:r>
        <w:rPr>
          <w:rFonts w:hint="eastAsia" w:ascii="宋体" w:hAnsi="宋体"/>
          <w:bCs/>
          <w:sz w:val="24"/>
          <w:highlight w:val="none"/>
        </w:rPr>
        <w:t>（即：¥</w:t>
      </w:r>
      <w:r>
        <w:rPr>
          <w:rFonts w:hint="eastAsia" w:ascii="宋体" w:hAnsi="宋体"/>
          <w:bCs/>
          <w:sz w:val="24"/>
          <w:highlight w:val="none"/>
          <w:u w:val="single"/>
        </w:rPr>
        <w:t xml:space="preserve">   </w:t>
      </w:r>
      <w:r>
        <w:rPr>
          <w:rFonts w:ascii="宋体" w:hAnsi="宋体"/>
          <w:bCs/>
          <w:sz w:val="24"/>
          <w:highlight w:val="none"/>
          <w:u w:val="single"/>
        </w:rPr>
        <w:t xml:space="preserve">  </w:t>
      </w:r>
      <w:r>
        <w:rPr>
          <w:rFonts w:hint="eastAsia" w:ascii="宋体" w:hAnsi="宋体"/>
          <w:bCs/>
          <w:sz w:val="24"/>
          <w:highlight w:val="none"/>
          <w:u w:val="single"/>
        </w:rPr>
        <w:t xml:space="preserve">  </w:t>
      </w:r>
      <w:r>
        <w:rPr>
          <w:rFonts w:hint="eastAsia" w:ascii="宋体" w:hAnsi="宋体"/>
          <w:bCs/>
          <w:sz w:val="24"/>
          <w:highlight w:val="none"/>
        </w:rPr>
        <w:t>元），乙方向甲方开具正式发票。</w:t>
      </w:r>
    </w:p>
    <w:p>
      <w:pPr>
        <w:spacing w:line="348" w:lineRule="auto"/>
        <w:ind w:firstLine="480" w:firstLineChars="200"/>
        <w:rPr>
          <w:rFonts w:ascii="宋体" w:hAnsi="宋体"/>
          <w:bCs/>
          <w:sz w:val="24"/>
          <w:highlight w:val="none"/>
        </w:rPr>
      </w:pPr>
      <w:r>
        <w:rPr>
          <w:rFonts w:hint="eastAsia" w:ascii="宋体" w:hAnsi="宋体"/>
          <w:bCs/>
          <w:sz w:val="24"/>
          <w:highlight w:val="none"/>
        </w:rPr>
        <w:t>3. 收款账户</w:t>
      </w:r>
    </w:p>
    <w:p>
      <w:pPr>
        <w:spacing w:line="348" w:lineRule="auto"/>
        <w:ind w:firstLine="480" w:firstLineChars="200"/>
        <w:rPr>
          <w:rFonts w:ascii="宋体" w:hAnsi="宋体"/>
          <w:bCs/>
          <w:sz w:val="24"/>
          <w:highlight w:val="none"/>
        </w:rPr>
      </w:pPr>
      <w:r>
        <w:rPr>
          <w:rFonts w:hint="eastAsia" w:ascii="宋体" w:hAnsi="宋体"/>
          <w:bCs/>
          <w:sz w:val="24"/>
          <w:highlight w:val="none"/>
        </w:rPr>
        <w:t>用户名：</w:t>
      </w:r>
    </w:p>
    <w:p>
      <w:pPr>
        <w:spacing w:line="348" w:lineRule="auto"/>
        <w:ind w:firstLine="480" w:firstLineChars="200"/>
        <w:rPr>
          <w:rFonts w:ascii="宋体" w:hAnsi="宋体"/>
          <w:bCs/>
          <w:sz w:val="24"/>
          <w:highlight w:val="none"/>
        </w:rPr>
      </w:pPr>
      <w:r>
        <w:rPr>
          <w:rFonts w:hint="eastAsia" w:ascii="宋体" w:hAnsi="宋体"/>
          <w:bCs/>
          <w:sz w:val="24"/>
          <w:highlight w:val="none"/>
        </w:rPr>
        <w:t>开户行：</w:t>
      </w:r>
    </w:p>
    <w:p>
      <w:pPr>
        <w:spacing w:line="348" w:lineRule="auto"/>
        <w:ind w:firstLine="480" w:firstLineChars="200"/>
        <w:rPr>
          <w:rFonts w:ascii="宋体" w:hAnsi="宋体"/>
          <w:bCs/>
          <w:sz w:val="24"/>
          <w:highlight w:val="none"/>
        </w:rPr>
      </w:pPr>
      <w:r>
        <w:rPr>
          <w:rFonts w:hint="eastAsia" w:ascii="宋体" w:hAnsi="宋体"/>
          <w:bCs/>
          <w:sz w:val="24"/>
          <w:highlight w:val="none"/>
        </w:rPr>
        <w:t>帐  号：</w:t>
      </w:r>
    </w:p>
    <w:p>
      <w:pPr>
        <w:spacing w:line="348" w:lineRule="auto"/>
        <w:ind w:left="3125" w:hanging="3125" w:hangingChars="1297"/>
        <w:jc w:val="left"/>
        <w:rPr>
          <w:rFonts w:ascii="宋体" w:hAnsi="宋体"/>
          <w:b/>
          <w:bCs/>
          <w:sz w:val="24"/>
          <w:highlight w:val="none"/>
        </w:rPr>
      </w:pPr>
      <w:r>
        <w:rPr>
          <w:rFonts w:hint="eastAsia" w:ascii="宋体" w:hAnsi="宋体"/>
          <w:b/>
          <w:bCs/>
          <w:sz w:val="24"/>
          <w:highlight w:val="none"/>
        </w:rPr>
        <w:t>四、知识产权</w:t>
      </w:r>
    </w:p>
    <w:p>
      <w:pPr>
        <w:spacing w:line="348" w:lineRule="auto"/>
        <w:ind w:firstLine="480" w:firstLineChars="200"/>
        <w:rPr>
          <w:rFonts w:ascii="宋体" w:hAnsi="宋体"/>
          <w:bCs/>
          <w:sz w:val="24"/>
          <w:highlight w:val="none"/>
        </w:rPr>
      </w:pPr>
      <w:r>
        <w:rPr>
          <w:rFonts w:hint="eastAsia" w:ascii="宋体" w:hAnsi="宋体"/>
          <w:bCs/>
          <w:sz w:val="24"/>
          <w:highlight w:val="none"/>
        </w:rPr>
        <w:t>1、乙方承认并尊重甲方或其关联机构拥有或合法使用的知识产权（“甲方的知识产权”），除非本协议另有明确规定，否则本协议中的任何规定均不应视为授权乙方使用任何甲方的知识产权以及著作权。费用结清后，乙方设计成果归属于甲方，乙方保留项目署名权及报奖权。</w:t>
      </w:r>
    </w:p>
    <w:p>
      <w:pPr>
        <w:spacing w:line="348" w:lineRule="auto"/>
        <w:ind w:firstLine="480" w:firstLineChars="200"/>
        <w:rPr>
          <w:rFonts w:ascii="宋体" w:hAnsi="宋体"/>
          <w:bCs/>
          <w:sz w:val="24"/>
          <w:highlight w:val="none"/>
        </w:rPr>
      </w:pPr>
      <w:r>
        <w:rPr>
          <w:rFonts w:hint="eastAsia" w:ascii="宋体" w:hAnsi="宋体"/>
          <w:bCs/>
          <w:sz w:val="24"/>
          <w:highlight w:val="none"/>
        </w:rPr>
        <w:t>2、甲方因乙方原因侵犯第三方知识产权，并因此涉入诉讼、索赔或其他司法程序的，乙方在接到甲方通知后，应协助甲方进行处理，承担甲方因此而产生的律师费、诉讼费、差旅费或仲裁决或法院终审决中确定的损害赔偿金额等为处理案件所发生的一切必要费用，并为甲方消除不利影响。</w:t>
      </w:r>
    </w:p>
    <w:p>
      <w:pPr>
        <w:spacing w:line="348" w:lineRule="auto"/>
        <w:ind w:firstLine="480" w:firstLineChars="200"/>
        <w:rPr>
          <w:rFonts w:ascii="宋体" w:hAnsi="宋体"/>
          <w:bCs/>
          <w:sz w:val="24"/>
          <w:highlight w:val="none"/>
        </w:rPr>
      </w:pPr>
      <w:r>
        <w:rPr>
          <w:rFonts w:hint="eastAsia" w:ascii="宋体" w:hAnsi="宋体"/>
          <w:bCs/>
          <w:sz w:val="24"/>
          <w:highlight w:val="none"/>
        </w:rPr>
        <w:t>3、如果乙方向甲方提供的服务中包含第三方知识产权，乙方应在提供给甲方时将有关详情和使用限制（包括使用范围、使用期限等）以书面形式告之甲方，并向甲方提供其与第三方的许可使用合同或其他足以证明乙方有权合法使用的证据。如乙方未能尽到前述义务，由此造成的任何纠纷和损失由乙方承担全部责任，乙方还应赔偿甲方因此而遭受的损害。</w:t>
      </w:r>
    </w:p>
    <w:p>
      <w:pPr>
        <w:spacing w:line="348" w:lineRule="auto"/>
        <w:ind w:left="3125" w:hanging="3125" w:hangingChars="1297"/>
        <w:jc w:val="left"/>
        <w:rPr>
          <w:rFonts w:ascii="宋体" w:hAnsi="宋体"/>
          <w:b/>
          <w:bCs/>
          <w:sz w:val="24"/>
          <w:highlight w:val="none"/>
        </w:rPr>
      </w:pPr>
      <w:r>
        <w:rPr>
          <w:rFonts w:hint="eastAsia" w:ascii="宋体" w:hAnsi="宋体"/>
          <w:b/>
          <w:bCs/>
          <w:sz w:val="24"/>
          <w:highlight w:val="none"/>
        </w:rPr>
        <w:t>五、违约责任：</w:t>
      </w:r>
    </w:p>
    <w:p>
      <w:pPr>
        <w:spacing w:line="348" w:lineRule="auto"/>
        <w:ind w:firstLine="480" w:firstLineChars="200"/>
        <w:rPr>
          <w:rFonts w:ascii="宋体" w:hAnsi="宋体"/>
          <w:bCs/>
          <w:sz w:val="24"/>
          <w:highlight w:val="none"/>
        </w:rPr>
      </w:pPr>
      <w:r>
        <w:rPr>
          <w:rFonts w:hint="eastAsia" w:ascii="宋体" w:hAnsi="宋体"/>
          <w:bCs/>
          <w:sz w:val="24"/>
          <w:highlight w:val="none"/>
        </w:rPr>
        <w:t>1. 甲方如果逾期支付委托服务费用，每逾期一日，应向乙方支付应付费用的万分之三违约金；逾期支付委托服务费用超过十五个工作日，乙方有权终止本合同，同时甲方应当向乙方承担本项委托服务费用总额</w:t>
      </w:r>
      <w:r>
        <w:rPr>
          <w:rFonts w:hint="eastAsia" w:ascii="宋体" w:hAnsi="宋体"/>
          <w:bCs/>
          <w:sz w:val="24"/>
          <w:highlight w:val="none"/>
          <w:u w:val="single"/>
        </w:rPr>
        <w:t xml:space="preserve"> </w:t>
      </w:r>
      <w:r>
        <w:rPr>
          <w:rFonts w:ascii="宋体" w:hAnsi="宋体"/>
          <w:bCs/>
          <w:sz w:val="24"/>
          <w:highlight w:val="none"/>
          <w:u w:val="single"/>
        </w:rPr>
        <w:t>5</w:t>
      </w:r>
      <w:r>
        <w:rPr>
          <w:rFonts w:hint="eastAsia" w:ascii="宋体" w:hAnsi="宋体"/>
          <w:bCs/>
          <w:sz w:val="24"/>
          <w:highlight w:val="none"/>
          <w:u w:val="single"/>
        </w:rPr>
        <w:t xml:space="preserve">  %</w:t>
      </w:r>
      <w:r>
        <w:rPr>
          <w:rFonts w:hint="eastAsia" w:ascii="宋体" w:hAnsi="宋体"/>
          <w:bCs/>
          <w:sz w:val="24"/>
          <w:highlight w:val="none"/>
        </w:rPr>
        <w:t>的违约金。</w:t>
      </w:r>
    </w:p>
    <w:p>
      <w:pPr>
        <w:spacing w:line="348" w:lineRule="auto"/>
        <w:ind w:firstLine="480" w:firstLineChars="200"/>
        <w:rPr>
          <w:rFonts w:ascii="宋体" w:hAnsi="宋体"/>
          <w:bCs/>
          <w:sz w:val="24"/>
          <w:highlight w:val="none"/>
        </w:rPr>
      </w:pPr>
      <w:r>
        <w:rPr>
          <w:rFonts w:hint="eastAsia" w:ascii="宋体" w:hAnsi="宋体"/>
          <w:bCs/>
          <w:sz w:val="24"/>
          <w:highlight w:val="none"/>
        </w:rPr>
        <w:t>2. 乙方如果不能按照本合同约定和甲方的要求完成委托服务事项，甲方则有权终止本合同，同时乙方应当退还甲方已经支付的费用并向甲方承担本项委托服务费用总额</w:t>
      </w:r>
      <w:r>
        <w:rPr>
          <w:rFonts w:hint="eastAsia" w:ascii="宋体" w:hAnsi="宋体"/>
          <w:bCs/>
          <w:sz w:val="24"/>
          <w:highlight w:val="none"/>
          <w:u w:val="single"/>
        </w:rPr>
        <w:t xml:space="preserve">  </w:t>
      </w:r>
      <w:r>
        <w:rPr>
          <w:rFonts w:ascii="宋体" w:hAnsi="宋体"/>
          <w:bCs/>
          <w:sz w:val="24"/>
          <w:highlight w:val="none"/>
          <w:u w:val="single"/>
        </w:rPr>
        <w:t>5</w:t>
      </w:r>
      <w:r>
        <w:rPr>
          <w:rFonts w:hint="eastAsia" w:ascii="宋体" w:hAnsi="宋体"/>
          <w:bCs/>
          <w:sz w:val="24"/>
          <w:highlight w:val="none"/>
          <w:u w:val="single"/>
        </w:rPr>
        <w:t xml:space="preserve"> %</w:t>
      </w:r>
      <w:r>
        <w:rPr>
          <w:rFonts w:hint="eastAsia" w:ascii="宋体" w:hAnsi="宋体"/>
          <w:bCs/>
          <w:sz w:val="24"/>
          <w:highlight w:val="none"/>
        </w:rPr>
        <w:t>的违约金。违约金不足以弥补甲方损失的，有权另行向乙方追偿。</w:t>
      </w:r>
    </w:p>
    <w:p>
      <w:pPr>
        <w:spacing w:line="348" w:lineRule="auto"/>
        <w:ind w:firstLine="480" w:firstLineChars="200"/>
        <w:rPr>
          <w:rFonts w:hint="eastAsia" w:ascii="宋体" w:hAnsi="宋体"/>
          <w:bCs/>
          <w:sz w:val="24"/>
          <w:highlight w:val="none"/>
        </w:rPr>
      </w:pPr>
      <w:r>
        <w:rPr>
          <w:rFonts w:hint="eastAsia" w:ascii="宋体" w:hAnsi="宋体"/>
          <w:bCs/>
          <w:sz w:val="24"/>
          <w:highlight w:val="none"/>
        </w:rPr>
        <w:t>3.</w:t>
      </w:r>
      <w:r>
        <w:rPr>
          <w:rFonts w:ascii="宋体" w:hAnsi="宋体"/>
          <w:bCs/>
          <w:sz w:val="24"/>
          <w:highlight w:val="none"/>
        </w:rPr>
        <w:t xml:space="preserve"> </w:t>
      </w:r>
      <w:r>
        <w:rPr>
          <w:rFonts w:hint="eastAsia" w:ascii="宋体" w:hAnsi="宋体"/>
          <w:bCs/>
          <w:sz w:val="24"/>
          <w:highlight w:val="none"/>
        </w:rPr>
        <w:t>乙方非因甲方原因导致迟延交付有关项目成果的，每延期一天，甲方有权要求乙方承担合同总价款千分之一/天的违约金。</w:t>
      </w:r>
    </w:p>
    <w:p>
      <w:pPr>
        <w:spacing w:line="348" w:lineRule="auto"/>
        <w:ind w:left="3125" w:hanging="3125" w:hangingChars="1297"/>
        <w:jc w:val="left"/>
        <w:rPr>
          <w:rFonts w:ascii="宋体" w:hAnsi="宋体"/>
          <w:b/>
          <w:bCs/>
          <w:sz w:val="24"/>
          <w:highlight w:val="none"/>
        </w:rPr>
      </w:pPr>
      <w:r>
        <w:rPr>
          <w:rFonts w:hint="eastAsia" w:ascii="宋体" w:hAnsi="宋体"/>
          <w:b/>
          <w:bCs/>
          <w:sz w:val="24"/>
          <w:highlight w:val="none"/>
        </w:rPr>
        <w:t>六、本合同的变更和解除：</w:t>
      </w:r>
    </w:p>
    <w:p>
      <w:pPr>
        <w:spacing w:line="348" w:lineRule="auto"/>
        <w:ind w:firstLine="480" w:firstLineChars="200"/>
        <w:rPr>
          <w:rFonts w:ascii="宋体" w:hAnsi="宋体"/>
          <w:bCs/>
          <w:sz w:val="24"/>
          <w:highlight w:val="none"/>
        </w:rPr>
      </w:pPr>
      <w:r>
        <w:rPr>
          <w:rFonts w:hint="eastAsia" w:ascii="宋体" w:hAnsi="宋体"/>
          <w:bCs/>
          <w:sz w:val="24"/>
          <w:highlight w:val="none"/>
        </w:rPr>
        <w:t>1. 因甲方的原因或不可抗力因素导致乙方不能按照本合同期限完成委托服务事项或由此产生展览及创作活动费用增加，则甲、乙双方通过友好协商后，以补充协议的方式予以变更和调整。</w:t>
      </w:r>
    </w:p>
    <w:p>
      <w:pPr>
        <w:spacing w:line="348" w:lineRule="auto"/>
        <w:ind w:firstLine="480" w:firstLineChars="200"/>
        <w:rPr>
          <w:rFonts w:ascii="宋体" w:hAnsi="宋体"/>
          <w:bCs/>
          <w:sz w:val="24"/>
          <w:highlight w:val="none"/>
        </w:rPr>
      </w:pPr>
      <w:r>
        <w:rPr>
          <w:rFonts w:hint="eastAsia" w:ascii="宋体" w:hAnsi="宋体"/>
          <w:bCs/>
          <w:sz w:val="24"/>
          <w:highlight w:val="none"/>
        </w:rPr>
        <w:t>2. 因不可抗力因素导致本合同无法履行的，甲、乙双方经协商确认后，可以解除合同，由此双方互不承担违约责任。</w:t>
      </w:r>
    </w:p>
    <w:p>
      <w:pPr>
        <w:spacing w:line="348" w:lineRule="auto"/>
        <w:rPr>
          <w:rFonts w:ascii="宋体" w:hAnsi="宋体"/>
          <w:b/>
          <w:bCs w:val="0"/>
          <w:sz w:val="24"/>
          <w:highlight w:val="none"/>
        </w:rPr>
      </w:pPr>
      <w:r>
        <w:rPr>
          <w:rFonts w:hint="eastAsia" w:ascii="宋体" w:hAnsi="宋体"/>
          <w:b/>
          <w:bCs w:val="0"/>
          <w:sz w:val="24"/>
          <w:highlight w:val="none"/>
        </w:rPr>
        <w:t>七、争议解决</w:t>
      </w:r>
    </w:p>
    <w:p>
      <w:pPr>
        <w:spacing w:line="348" w:lineRule="auto"/>
        <w:ind w:firstLine="0" w:firstLineChars="0"/>
        <w:rPr>
          <w:rFonts w:ascii="宋体" w:hAnsi="宋体"/>
          <w:bCs/>
          <w:sz w:val="24"/>
          <w:highlight w:val="none"/>
        </w:rPr>
      </w:pPr>
      <w:r>
        <w:rPr>
          <w:rFonts w:hint="eastAsia" w:ascii="宋体" w:hAnsi="宋体"/>
          <w:bCs/>
          <w:sz w:val="24"/>
          <w:highlight w:val="none"/>
        </w:rPr>
        <w:t xml:space="preserve"> </w:t>
      </w:r>
      <w:r>
        <w:rPr>
          <w:rFonts w:ascii="宋体" w:hAnsi="宋体"/>
          <w:bCs/>
          <w:sz w:val="24"/>
          <w:highlight w:val="none"/>
        </w:rPr>
        <w:t xml:space="preserve">   </w:t>
      </w:r>
      <w:r>
        <w:rPr>
          <w:rFonts w:hint="eastAsia" w:ascii="宋体" w:hAnsi="宋体"/>
          <w:bCs/>
          <w:sz w:val="24"/>
          <w:highlight w:val="none"/>
        </w:rPr>
        <w:t>本合同履行过程中发生的任何争议，首先由双方友好协商解决，协商不成时，任何一方有权向北京仲裁委员会申请仲裁，仲裁结果为终局，对双方具有约束力。</w:t>
      </w:r>
    </w:p>
    <w:p>
      <w:pPr>
        <w:spacing w:line="348" w:lineRule="auto"/>
        <w:ind w:left="3125" w:hanging="3125" w:hangingChars="1297"/>
        <w:jc w:val="left"/>
        <w:rPr>
          <w:rFonts w:ascii="宋体" w:hAnsi="宋体"/>
          <w:b/>
          <w:bCs/>
          <w:sz w:val="24"/>
          <w:highlight w:val="none"/>
        </w:rPr>
      </w:pPr>
      <w:r>
        <w:rPr>
          <w:rFonts w:hint="eastAsia" w:ascii="宋体" w:hAnsi="宋体"/>
          <w:b/>
          <w:bCs/>
          <w:sz w:val="24"/>
          <w:highlight w:val="none"/>
        </w:rPr>
        <w:t>八、合同生效：</w:t>
      </w:r>
    </w:p>
    <w:p>
      <w:pPr>
        <w:spacing w:line="348" w:lineRule="auto"/>
        <w:ind w:firstLine="480" w:firstLineChars="200"/>
        <w:rPr>
          <w:rFonts w:ascii="宋体" w:hAnsi="宋体"/>
          <w:bCs/>
          <w:sz w:val="24"/>
          <w:highlight w:val="none"/>
        </w:rPr>
      </w:pPr>
      <w:r>
        <w:rPr>
          <w:rFonts w:hint="eastAsia" w:ascii="宋体" w:hAnsi="宋体"/>
          <w:bCs/>
          <w:sz w:val="24"/>
          <w:highlight w:val="none"/>
        </w:rPr>
        <w:t>1. 本合同由双方盖章签字后生效。</w:t>
      </w:r>
    </w:p>
    <w:p>
      <w:pPr>
        <w:spacing w:line="348" w:lineRule="auto"/>
        <w:ind w:firstLine="480" w:firstLineChars="200"/>
        <w:rPr>
          <w:rFonts w:ascii="宋体" w:hAnsi="宋体"/>
          <w:bCs/>
          <w:sz w:val="24"/>
          <w:highlight w:val="none"/>
        </w:rPr>
      </w:pPr>
      <w:r>
        <w:rPr>
          <w:rFonts w:hint="eastAsia" w:ascii="宋体" w:hAnsi="宋体"/>
          <w:bCs/>
          <w:sz w:val="24"/>
          <w:highlight w:val="none"/>
        </w:rPr>
        <w:t>2. 本合同一式</w:t>
      </w:r>
      <w:r>
        <w:rPr>
          <w:rFonts w:hint="eastAsia" w:ascii="宋体" w:hAnsi="宋体"/>
          <w:bCs/>
          <w:sz w:val="24"/>
          <w:highlight w:val="none"/>
          <w:lang w:eastAsia="zh-CN"/>
        </w:rPr>
        <w:t>六</w:t>
      </w:r>
      <w:r>
        <w:rPr>
          <w:rFonts w:hint="eastAsia" w:ascii="宋体" w:hAnsi="宋体"/>
          <w:bCs/>
          <w:sz w:val="24"/>
          <w:highlight w:val="none"/>
        </w:rPr>
        <w:t>份，甲、乙双方各持</w:t>
      </w:r>
      <w:r>
        <w:rPr>
          <w:rFonts w:hint="eastAsia" w:ascii="宋体" w:hAnsi="宋体"/>
          <w:bCs/>
          <w:sz w:val="24"/>
          <w:highlight w:val="none"/>
          <w:lang w:eastAsia="zh-CN"/>
        </w:rPr>
        <w:t>三</w:t>
      </w:r>
      <w:r>
        <w:rPr>
          <w:rFonts w:hint="eastAsia" w:ascii="宋体" w:hAnsi="宋体"/>
          <w:bCs/>
          <w:sz w:val="24"/>
          <w:highlight w:val="none"/>
        </w:rPr>
        <w:t>份。</w:t>
      </w:r>
    </w:p>
    <w:p>
      <w:pPr>
        <w:spacing w:line="348" w:lineRule="auto"/>
        <w:ind w:firstLine="480" w:firstLineChars="200"/>
        <w:rPr>
          <w:rFonts w:ascii="宋体" w:hAnsi="宋体"/>
          <w:bCs/>
          <w:sz w:val="24"/>
          <w:highlight w:val="none"/>
        </w:rPr>
      </w:pPr>
      <w:r>
        <w:rPr>
          <w:rFonts w:hint="eastAsia" w:ascii="宋体" w:hAnsi="宋体"/>
          <w:bCs/>
          <w:sz w:val="24"/>
          <w:highlight w:val="none"/>
        </w:rPr>
        <w:t>3. 本合同的附件为合同的组成部分，与本合同具有同等法律效力。</w:t>
      </w:r>
    </w:p>
    <w:p>
      <w:pPr>
        <w:spacing w:line="348" w:lineRule="auto"/>
        <w:rPr>
          <w:rFonts w:ascii="宋体" w:hAnsi="宋体"/>
          <w:sz w:val="24"/>
          <w:highlight w:val="none"/>
        </w:rPr>
      </w:pPr>
    </w:p>
    <w:p>
      <w:pPr>
        <w:spacing w:line="348" w:lineRule="auto"/>
        <w:rPr>
          <w:rFonts w:ascii="宋体" w:hAnsi="宋体"/>
          <w:sz w:val="24"/>
          <w:highlight w:val="none"/>
        </w:rPr>
      </w:pPr>
      <w:r>
        <w:rPr>
          <w:rFonts w:hint="eastAsia" w:ascii="宋体" w:hAnsi="宋体"/>
          <w:sz w:val="24"/>
          <w:highlight w:val="none"/>
        </w:rPr>
        <w:t>甲方（盖章）：</w:t>
      </w:r>
      <w:r>
        <w:rPr>
          <w:rFonts w:ascii="宋体" w:hAnsi="宋体"/>
          <w:sz w:val="24"/>
          <w:highlight w:val="none"/>
        </w:rPr>
        <w:t xml:space="preserve"> </w:t>
      </w:r>
    </w:p>
    <w:p>
      <w:pPr>
        <w:spacing w:line="348" w:lineRule="auto"/>
        <w:rPr>
          <w:rFonts w:ascii="宋体" w:hAnsi="宋体"/>
          <w:sz w:val="24"/>
          <w:highlight w:val="none"/>
        </w:rPr>
      </w:pPr>
      <w:r>
        <w:rPr>
          <w:rFonts w:hint="eastAsia" w:ascii="宋体" w:hAnsi="宋体"/>
          <w:sz w:val="24"/>
          <w:highlight w:val="none"/>
        </w:rPr>
        <w:t xml:space="preserve">甲方代表： </w:t>
      </w:r>
      <w:r>
        <w:rPr>
          <w:rFonts w:ascii="宋体" w:hAnsi="宋体"/>
          <w:sz w:val="24"/>
          <w:highlight w:val="none"/>
        </w:rPr>
        <w:t xml:space="preserve">                    </w:t>
      </w:r>
      <w:r>
        <w:rPr>
          <w:rFonts w:hint="eastAsia" w:ascii="宋体" w:hAnsi="宋体"/>
          <w:sz w:val="24"/>
          <w:highlight w:val="none"/>
        </w:rPr>
        <w:t xml:space="preserve">     </w:t>
      </w:r>
    </w:p>
    <w:p>
      <w:pPr>
        <w:spacing w:line="348" w:lineRule="auto"/>
        <w:rPr>
          <w:rFonts w:ascii="宋体" w:hAnsi="宋体"/>
          <w:sz w:val="24"/>
          <w:highlight w:val="none"/>
        </w:rPr>
      </w:pPr>
      <w:r>
        <w:rPr>
          <w:rFonts w:hint="eastAsia" w:ascii="宋体" w:hAnsi="宋体"/>
          <w:sz w:val="24"/>
          <w:highlight w:val="none"/>
        </w:rPr>
        <w:t xml:space="preserve">联系电话： </w:t>
      </w:r>
    </w:p>
    <w:p>
      <w:pPr>
        <w:spacing w:line="348" w:lineRule="auto"/>
        <w:rPr>
          <w:rFonts w:ascii="宋体" w:hAnsi="宋体"/>
          <w:b/>
          <w:bCs/>
          <w:sz w:val="24"/>
          <w:highlight w:val="none"/>
        </w:rPr>
      </w:pPr>
      <w:r>
        <w:rPr>
          <w:rFonts w:hint="eastAsia" w:ascii="宋体" w:hAnsi="宋体"/>
          <w:sz w:val="24"/>
          <w:highlight w:val="none"/>
        </w:rPr>
        <w:t>签约日期：</w:t>
      </w:r>
      <w:r>
        <w:rPr>
          <w:rFonts w:ascii="宋体" w:hAnsi="宋体"/>
          <w:sz w:val="24"/>
          <w:highlight w:val="none"/>
        </w:rPr>
        <w:t xml:space="preserve">                     </w:t>
      </w:r>
      <w:r>
        <w:rPr>
          <w:rFonts w:hint="eastAsia" w:ascii="宋体" w:hAnsi="宋体"/>
          <w:sz w:val="24"/>
          <w:highlight w:val="none"/>
        </w:rPr>
        <w:t xml:space="preserve">     </w:t>
      </w:r>
    </w:p>
    <w:p>
      <w:pPr>
        <w:spacing w:line="348" w:lineRule="auto"/>
        <w:rPr>
          <w:rFonts w:ascii="宋体" w:hAnsi="宋体"/>
          <w:sz w:val="24"/>
          <w:highlight w:val="none"/>
        </w:rPr>
      </w:pPr>
    </w:p>
    <w:p>
      <w:pPr>
        <w:spacing w:line="348" w:lineRule="auto"/>
        <w:rPr>
          <w:rFonts w:ascii="宋体" w:hAnsi="宋体"/>
          <w:sz w:val="24"/>
          <w:highlight w:val="none"/>
        </w:rPr>
      </w:pPr>
      <w:r>
        <w:rPr>
          <w:rFonts w:hint="eastAsia" w:ascii="宋体" w:hAnsi="宋体"/>
          <w:sz w:val="24"/>
          <w:highlight w:val="none"/>
        </w:rPr>
        <w:t>乙方（盖章）：                      乙方代表：</w:t>
      </w:r>
    </w:p>
    <w:p>
      <w:pPr>
        <w:spacing w:line="348" w:lineRule="auto"/>
        <w:jc w:val="left"/>
        <w:rPr>
          <w:rFonts w:ascii="宋体" w:hAnsi="宋体" w:cs="宋体"/>
          <w:sz w:val="24"/>
          <w:szCs w:val="24"/>
          <w:highlight w:val="none"/>
        </w:rPr>
      </w:pPr>
      <w:r>
        <w:rPr>
          <w:rFonts w:hint="eastAsia" w:ascii="宋体" w:hAnsi="宋体"/>
          <w:sz w:val="24"/>
          <w:highlight w:val="none"/>
        </w:rPr>
        <w:t>联系电话：                         签约日期：</w:t>
      </w:r>
    </w:p>
    <w:p>
      <w:pPr>
        <w:pStyle w:val="39"/>
        <w:ind w:firstLine="480"/>
        <w:jc w:val="left"/>
        <w:rPr>
          <w:rFonts w:ascii="宋体" w:hAnsi="宋体"/>
          <w:highlight w:val="none"/>
        </w:rPr>
      </w:pPr>
    </w:p>
    <w:p>
      <w:pPr>
        <w:pStyle w:val="38"/>
        <w:numPr>
          <w:ilvl w:val="-1"/>
          <w:numId w:val="0"/>
        </w:numPr>
        <w:rPr>
          <w:rFonts w:ascii="宋体" w:hAnsi="宋体"/>
          <w:highlight w:val="none"/>
        </w:rPr>
      </w:pPr>
      <w:bookmarkStart w:id="60" w:name="_Toc32304"/>
      <w:r>
        <w:rPr>
          <w:rFonts w:hint="eastAsia" w:ascii="宋体" w:hAnsi="宋体"/>
          <w:highlight w:val="none"/>
          <w:lang w:val="en-US" w:eastAsia="zh-CN"/>
        </w:rPr>
        <w:t xml:space="preserve">9 </w:t>
      </w:r>
      <w:r>
        <w:rPr>
          <w:rFonts w:hint="eastAsia" w:ascii="宋体" w:hAnsi="宋体"/>
          <w:highlight w:val="none"/>
        </w:rPr>
        <w:t>附录</w:t>
      </w:r>
      <w:bookmarkEnd w:id="60"/>
    </w:p>
    <w:p>
      <w:pPr>
        <w:pStyle w:val="55"/>
        <w:numPr>
          <w:ilvl w:val="0"/>
          <w:numId w:val="0"/>
        </w:numPr>
        <w:tabs>
          <w:tab w:val="clear" w:pos="312"/>
        </w:tabs>
        <w:adjustRightInd w:val="0"/>
        <w:snapToGrid w:val="0"/>
        <w:spacing w:line="240" w:lineRule="auto"/>
        <w:rPr>
          <w:rFonts w:ascii="宋体" w:hAnsi="宋体"/>
          <w:highlight w:val="none"/>
        </w:rPr>
      </w:pPr>
      <w:r>
        <w:rPr>
          <w:rFonts w:hint="eastAsia" w:ascii="宋体" w:hAnsi="宋体"/>
          <w:sz w:val="21"/>
          <w:szCs w:val="21"/>
          <w:highlight w:val="none"/>
        </w:rPr>
        <w:t>附件一</w:t>
      </w:r>
      <w:r>
        <w:rPr>
          <w:rFonts w:hint="eastAsia" w:ascii="宋体" w:hAnsi="宋体"/>
          <w:highlight w:val="none"/>
        </w:rPr>
        <w:t>：</w:t>
      </w:r>
    </w:p>
    <w:p>
      <w:pPr>
        <w:adjustRightInd w:val="0"/>
        <w:snapToGrid w:val="0"/>
        <w:jc w:val="center"/>
        <w:rPr>
          <w:rFonts w:ascii="宋体" w:hAnsi="宋体" w:cs="Arial"/>
          <w:sz w:val="32"/>
          <w:szCs w:val="32"/>
          <w:highlight w:val="none"/>
        </w:rPr>
      </w:pPr>
      <w:r>
        <w:rPr>
          <w:rFonts w:ascii="宋体" w:hAnsi="宋体" w:cs="Arial"/>
          <w:sz w:val="32"/>
          <w:szCs w:val="32"/>
          <w:highlight w:val="none"/>
        </w:rPr>
        <w:t>投标承诺</w:t>
      </w:r>
      <w:r>
        <w:rPr>
          <w:rFonts w:hint="eastAsia" w:ascii="宋体" w:hAnsi="宋体" w:cs="Arial"/>
          <w:sz w:val="32"/>
          <w:szCs w:val="32"/>
          <w:highlight w:val="none"/>
        </w:rPr>
        <w:t>函</w:t>
      </w:r>
    </w:p>
    <w:p>
      <w:pPr>
        <w:snapToGrid w:val="0"/>
        <w:spacing w:before="156" w:beforeLines="50"/>
        <w:ind w:firstLine="480" w:firstLineChars="200"/>
        <w:rPr>
          <w:rFonts w:ascii="宋体" w:hAnsi="宋体" w:cs="Arial"/>
          <w:sz w:val="24"/>
          <w:szCs w:val="24"/>
          <w:highlight w:val="none"/>
        </w:rPr>
      </w:pPr>
      <w:r>
        <w:rPr>
          <w:rFonts w:hint="eastAsia" w:ascii="宋体" w:hAnsi="宋体" w:cs="Arial"/>
          <w:sz w:val="24"/>
          <w:szCs w:val="24"/>
          <w:highlight w:val="none"/>
        </w:rPr>
        <w:t>本投标人已详细阅读了——招标文件，自愿参加由北京华信医院组织的</w:t>
      </w:r>
      <w:r>
        <w:rPr>
          <w:rFonts w:hint="eastAsia" w:ascii="宋体" w:hAnsi="宋体"/>
          <w:color w:val="000000"/>
          <w:highlight w:val="none"/>
        </w:rPr>
        <w:t>“</w:t>
      </w:r>
      <w:r>
        <w:rPr>
          <w:rFonts w:hint="eastAsia" w:ascii="宋体" w:hAnsi="宋体"/>
          <w:sz w:val="24"/>
          <w:highlight w:val="none"/>
        </w:rPr>
        <w:t>薪传六十年，奋进新甲子</w:t>
      </w:r>
      <w:r>
        <w:rPr>
          <w:rFonts w:hint="eastAsia" w:ascii="宋体" w:hAnsi="宋体"/>
          <w:color w:val="000000"/>
          <w:highlight w:val="none"/>
        </w:rPr>
        <w:t>”</w:t>
      </w:r>
      <w:r>
        <w:rPr>
          <w:rFonts w:hint="eastAsia" w:ascii="宋体" w:hAnsi="宋体" w:cs="Arial"/>
          <w:sz w:val="24"/>
          <w:szCs w:val="24"/>
          <w:highlight w:val="none"/>
        </w:rPr>
        <w:t>北京华信医院建院60周年院庆活动项目招投标，为体现公开、诚实信用原则，现就有关事项向招标人郑重承诺如下:</w:t>
      </w:r>
    </w:p>
    <w:p>
      <w:pPr>
        <w:snapToGrid w:val="0"/>
        <w:spacing w:before="156" w:beforeLines="50"/>
        <w:ind w:firstLine="480" w:firstLineChars="200"/>
        <w:rPr>
          <w:rFonts w:ascii="宋体" w:hAnsi="宋体" w:cs="Arial"/>
          <w:sz w:val="24"/>
          <w:szCs w:val="24"/>
          <w:highlight w:val="none"/>
        </w:rPr>
      </w:pPr>
      <w:r>
        <w:rPr>
          <w:rFonts w:hint="eastAsia" w:ascii="宋体" w:hAnsi="宋体" w:cs="Arial"/>
          <w:sz w:val="24"/>
          <w:szCs w:val="24"/>
          <w:highlight w:val="none"/>
        </w:rPr>
        <w:t>1、遵守中华人民共和国的法律法规规定，严格按照招标文件要求提交投标材料，并对材料的真实性、有效性、合法性负责。</w:t>
      </w:r>
    </w:p>
    <w:p>
      <w:pPr>
        <w:snapToGrid w:val="0"/>
        <w:spacing w:before="156" w:beforeLines="50"/>
        <w:ind w:firstLine="480" w:firstLineChars="200"/>
        <w:rPr>
          <w:rFonts w:ascii="宋体" w:hAnsi="宋体" w:cs="Arial"/>
          <w:sz w:val="24"/>
          <w:szCs w:val="24"/>
          <w:highlight w:val="none"/>
        </w:rPr>
      </w:pPr>
      <w:r>
        <w:rPr>
          <w:rFonts w:hint="eastAsia" w:ascii="宋体" w:hAnsi="宋体" w:cs="Arial"/>
          <w:sz w:val="24"/>
          <w:szCs w:val="24"/>
          <w:highlight w:val="none"/>
        </w:rPr>
        <w:t>2、保证不出借、转让资质证书，不</w:t>
      </w:r>
      <w:r>
        <w:rPr>
          <w:highlight w:val="none"/>
        </w:rPr>
        <w:fldChar w:fldCharType="begin"/>
      </w:r>
      <w:r>
        <w:rPr>
          <w:highlight w:val="none"/>
        </w:rPr>
        <w:instrText xml:space="preserve"> HYPERLINK "http://www.so.com/s?q=%E6%8C%82%E9%9D%A0&amp;ie=utf-8&amp;src=wenda_link" \t "_blank" </w:instrText>
      </w:r>
      <w:r>
        <w:rPr>
          <w:highlight w:val="none"/>
        </w:rPr>
        <w:fldChar w:fldCharType="separate"/>
      </w:r>
      <w:r>
        <w:rPr>
          <w:rFonts w:hint="eastAsia" w:ascii="宋体" w:hAnsi="宋体" w:cs="Arial"/>
          <w:sz w:val="24"/>
          <w:szCs w:val="24"/>
          <w:highlight w:val="none"/>
        </w:rPr>
        <w:t>挂靠</w:t>
      </w:r>
      <w:r>
        <w:rPr>
          <w:rFonts w:hint="eastAsia" w:ascii="宋体" w:hAnsi="宋体" w:cs="Arial"/>
          <w:sz w:val="24"/>
          <w:szCs w:val="24"/>
          <w:highlight w:val="none"/>
        </w:rPr>
        <w:fldChar w:fldCharType="end"/>
      </w:r>
      <w:r>
        <w:rPr>
          <w:rFonts w:hint="eastAsia" w:ascii="宋体" w:hAnsi="宋体" w:cs="Arial"/>
          <w:sz w:val="24"/>
          <w:szCs w:val="24"/>
          <w:highlight w:val="none"/>
        </w:rPr>
        <w:t>、不让他人挂靠投标或者以其他方式弄虚作假，骗取投标、中标资格。</w:t>
      </w:r>
    </w:p>
    <w:p>
      <w:pPr>
        <w:snapToGrid w:val="0"/>
        <w:spacing w:before="156" w:beforeLines="50"/>
        <w:ind w:firstLine="480" w:firstLineChars="200"/>
        <w:rPr>
          <w:rFonts w:ascii="宋体" w:hAnsi="宋体" w:cs="Arial"/>
          <w:sz w:val="24"/>
          <w:szCs w:val="24"/>
          <w:highlight w:val="none"/>
        </w:rPr>
      </w:pPr>
      <w:r>
        <w:rPr>
          <w:rFonts w:hint="eastAsia" w:ascii="宋体" w:hAnsi="宋体" w:cs="Arial"/>
          <w:sz w:val="24"/>
          <w:szCs w:val="24"/>
          <w:highlight w:val="none"/>
        </w:rPr>
        <w:t>3、保证不与招标人、其他投标人或者招标代理机构串通投标，损害国家利益、社会公共利益、招标人和其他投标人的合法权益。</w:t>
      </w:r>
    </w:p>
    <w:p>
      <w:pPr>
        <w:snapToGrid w:val="0"/>
        <w:spacing w:before="156" w:beforeLines="50"/>
        <w:ind w:firstLine="480" w:firstLineChars="200"/>
        <w:rPr>
          <w:rFonts w:ascii="宋体" w:hAnsi="宋体" w:cs="Arial"/>
          <w:sz w:val="24"/>
          <w:szCs w:val="24"/>
          <w:highlight w:val="none"/>
        </w:rPr>
      </w:pPr>
      <w:r>
        <w:rPr>
          <w:rFonts w:hint="eastAsia" w:ascii="宋体" w:hAnsi="宋体" w:cs="Arial"/>
          <w:sz w:val="24"/>
          <w:szCs w:val="24"/>
          <w:highlight w:val="none"/>
        </w:rPr>
        <w:t>4、保证不存在低于成本的恶意报价行为，也不存在恶意抬高报价行为。</w:t>
      </w:r>
    </w:p>
    <w:p>
      <w:pPr>
        <w:snapToGrid w:val="0"/>
        <w:spacing w:before="156" w:beforeLines="50"/>
        <w:ind w:firstLine="480" w:firstLineChars="200"/>
        <w:rPr>
          <w:rFonts w:ascii="宋体" w:hAnsi="宋体" w:cs="Arial"/>
          <w:sz w:val="24"/>
          <w:szCs w:val="24"/>
          <w:highlight w:val="none"/>
        </w:rPr>
      </w:pPr>
      <w:r>
        <w:rPr>
          <w:rFonts w:hint="eastAsia" w:ascii="宋体" w:hAnsi="宋体" w:cs="Arial"/>
          <w:sz w:val="24"/>
          <w:szCs w:val="24"/>
          <w:highlight w:val="none"/>
        </w:rPr>
        <w:t>5、保证不向招标人相关招评标人员、项目管理等人员赠送礼品、礼金、消费卡、有价证券或以宴请、旅游等方式牟取投标、中标资格。</w:t>
      </w:r>
    </w:p>
    <w:p>
      <w:pPr>
        <w:snapToGrid w:val="0"/>
        <w:spacing w:before="156" w:beforeLines="50"/>
        <w:ind w:firstLine="480" w:firstLineChars="200"/>
        <w:rPr>
          <w:rFonts w:ascii="宋体" w:hAnsi="宋体" w:cs="Arial"/>
          <w:sz w:val="24"/>
          <w:szCs w:val="24"/>
          <w:highlight w:val="none"/>
        </w:rPr>
      </w:pPr>
      <w:r>
        <w:rPr>
          <w:rFonts w:hint="eastAsia" w:ascii="宋体" w:hAnsi="宋体" w:cs="Arial"/>
          <w:sz w:val="24"/>
          <w:szCs w:val="24"/>
          <w:highlight w:val="none"/>
        </w:rPr>
        <w:t>6、保证与招标人及其所聘请的中介机构，无任何可能影响公正评标的社会关系或者经济利益关系。</w:t>
      </w:r>
    </w:p>
    <w:p>
      <w:pPr>
        <w:snapToGrid w:val="0"/>
        <w:spacing w:before="156" w:beforeLines="50"/>
        <w:ind w:firstLine="480" w:firstLineChars="200"/>
        <w:rPr>
          <w:rFonts w:ascii="宋体" w:hAnsi="宋体" w:cs="Arial"/>
          <w:color w:val="000000"/>
          <w:sz w:val="24"/>
          <w:szCs w:val="24"/>
          <w:highlight w:val="none"/>
        </w:rPr>
      </w:pPr>
      <w:r>
        <w:rPr>
          <w:rFonts w:hint="eastAsia" w:ascii="宋体" w:hAnsi="宋体" w:cs="Arial"/>
          <w:color w:val="000000"/>
          <w:sz w:val="24"/>
          <w:szCs w:val="24"/>
          <w:highlight w:val="none"/>
        </w:rPr>
        <w:t>7、保证直接或间接股东、法定代表人、董事、监事、高管没有北京华信医院员工及其亲属。</w:t>
      </w:r>
    </w:p>
    <w:p>
      <w:pPr>
        <w:snapToGrid w:val="0"/>
        <w:spacing w:before="156" w:beforeLines="50"/>
        <w:ind w:firstLine="480" w:firstLineChars="200"/>
        <w:rPr>
          <w:rFonts w:ascii="宋体" w:hAnsi="宋体" w:cs="Arial"/>
          <w:sz w:val="24"/>
          <w:szCs w:val="24"/>
          <w:highlight w:val="none"/>
        </w:rPr>
      </w:pPr>
      <w:r>
        <w:rPr>
          <w:rFonts w:hint="eastAsia" w:ascii="宋体" w:hAnsi="宋体" w:cs="Arial"/>
          <w:sz w:val="24"/>
          <w:szCs w:val="24"/>
          <w:highlight w:val="none"/>
        </w:rPr>
        <w:t>8、保证中标后，严格按照投标文件及合同要求履行义务，不转包及使用挂靠施工队伍。按照</w:t>
      </w:r>
      <w:r>
        <w:rPr>
          <w:highlight w:val="none"/>
        </w:rPr>
        <w:fldChar w:fldCharType="begin"/>
      </w:r>
      <w:r>
        <w:rPr>
          <w:highlight w:val="none"/>
        </w:rPr>
        <w:instrText xml:space="preserve"> HYPERLINK "http://www.so.com/s?q=%E6%8A%95%E6%A0%87%E6%96%87%E4%BB%B6&amp;ie=utf-8&amp;src=wenda_link" \t "_blank" </w:instrText>
      </w:r>
      <w:r>
        <w:rPr>
          <w:highlight w:val="none"/>
        </w:rPr>
        <w:fldChar w:fldCharType="separate"/>
      </w:r>
      <w:r>
        <w:rPr>
          <w:rFonts w:hint="eastAsia" w:ascii="宋体" w:hAnsi="宋体" w:cs="Arial"/>
          <w:sz w:val="24"/>
          <w:szCs w:val="24"/>
          <w:highlight w:val="none"/>
        </w:rPr>
        <w:t>投标文件</w:t>
      </w:r>
      <w:r>
        <w:rPr>
          <w:rFonts w:hint="eastAsia" w:ascii="宋体" w:hAnsi="宋体" w:cs="Arial"/>
          <w:sz w:val="24"/>
          <w:szCs w:val="24"/>
          <w:highlight w:val="none"/>
        </w:rPr>
        <w:fldChar w:fldCharType="end"/>
      </w:r>
      <w:r>
        <w:rPr>
          <w:rFonts w:hint="eastAsia" w:ascii="宋体" w:hAnsi="宋体" w:cs="Arial"/>
          <w:sz w:val="24"/>
          <w:szCs w:val="24"/>
          <w:highlight w:val="none"/>
        </w:rPr>
        <w:t>承诺派驻管理人员及投入相关的设施等。</w:t>
      </w:r>
    </w:p>
    <w:p>
      <w:pPr>
        <w:snapToGrid w:val="0"/>
        <w:spacing w:before="156" w:beforeLines="50"/>
        <w:ind w:firstLine="480" w:firstLineChars="200"/>
        <w:rPr>
          <w:rFonts w:ascii="宋体" w:hAnsi="宋体" w:cs="Arial"/>
          <w:sz w:val="24"/>
          <w:szCs w:val="24"/>
          <w:highlight w:val="none"/>
        </w:rPr>
      </w:pPr>
      <w:r>
        <w:rPr>
          <w:rFonts w:hint="eastAsia" w:ascii="宋体" w:hAnsi="宋体" w:cs="Arial"/>
          <w:sz w:val="24"/>
          <w:szCs w:val="24"/>
          <w:highlight w:val="none"/>
        </w:rPr>
        <w:t>本投标人若违反上述承诺，自愿承担取消投标资格、记入信用档案等相关责任，并承担相应的法律责任。如已中标，自愿放弃中标资格，向招标人承担违约责任；给招标人造成损失的，依法承担赔偿责任。</w:t>
      </w:r>
    </w:p>
    <w:p>
      <w:pPr>
        <w:snapToGrid w:val="0"/>
        <w:spacing w:before="156" w:beforeLines="50" w:line="400" w:lineRule="exact"/>
        <w:rPr>
          <w:rFonts w:ascii="宋体" w:hAnsi="宋体" w:cs="Arial"/>
          <w:sz w:val="24"/>
          <w:szCs w:val="24"/>
          <w:highlight w:val="none"/>
        </w:rPr>
      </w:pPr>
      <w:r>
        <w:rPr>
          <w:rFonts w:hint="eastAsia" w:ascii="宋体" w:hAnsi="宋体" w:cs="Arial"/>
          <w:sz w:val="24"/>
          <w:szCs w:val="24"/>
          <w:highlight w:val="none"/>
        </w:rPr>
        <w:t>投标单位：-----------------（盖章）</w:t>
      </w:r>
    </w:p>
    <w:p>
      <w:pPr>
        <w:snapToGrid w:val="0"/>
        <w:spacing w:before="156" w:beforeLines="50" w:line="400" w:lineRule="exact"/>
        <w:rPr>
          <w:rFonts w:ascii="宋体" w:hAnsi="宋体" w:cs="Arial"/>
          <w:sz w:val="24"/>
          <w:szCs w:val="24"/>
          <w:highlight w:val="none"/>
        </w:rPr>
      </w:pPr>
      <w:r>
        <w:rPr>
          <w:rFonts w:hint="eastAsia" w:ascii="宋体" w:hAnsi="宋体" w:cs="Arial"/>
          <w:sz w:val="24"/>
          <w:szCs w:val="24"/>
          <w:highlight w:val="none"/>
        </w:rPr>
        <w:t>单位地址：------------------</w:t>
      </w:r>
    </w:p>
    <w:p>
      <w:pPr>
        <w:snapToGrid w:val="0"/>
        <w:spacing w:before="156" w:beforeLines="50" w:line="400" w:lineRule="exact"/>
        <w:rPr>
          <w:rFonts w:ascii="宋体" w:hAnsi="宋体" w:cs="Arial"/>
          <w:sz w:val="24"/>
          <w:szCs w:val="24"/>
          <w:highlight w:val="none"/>
        </w:rPr>
      </w:pPr>
      <w:r>
        <w:rPr>
          <w:rFonts w:hint="eastAsia" w:ascii="宋体" w:hAnsi="宋体" w:cs="Arial"/>
          <w:sz w:val="24"/>
          <w:szCs w:val="24"/>
          <w:highlight w:val="none"/>
        </w:rPr>
        <w:t>法定代表人或授权代表：----------（盖章或签字）</w:t>
      </w:r>
    </w:p>
    <w:p>
      <w:pPr>
        <w:snapToGrid w:val="0"/>
        <w:spacing w:before="156" w:beforeLines="50" w:line="400" w:lineRule="exact"/>
        <w:rPr>
          <w:rFonts w:ascii="宋体" w:hAnsi="宋体" w:cs="Arial"/>
          <w:sz w:val="24"/>
          <w:szCs w:val="24"/>
          <w:highlight w:val="none"/>
        </w:rPr>
      </w:pPr>
      <w:r>
        <w:rPr>
          <w:rFonts w:hint="eastAsia" w:ascii="宋体" w:hAnsi="宋体" w:cs="Arial"/>
          <w:sz w:val="24"/>
          <w:szCs w:val="24"/>
          <w:highlight w:val="none"/>
        </w:rPr>
        <w:t>投标联系人：-----------</w:t>
      </w:r>
    </w:p>
    <w:p>
      <w:pPr>
        <w:snapToGrid w:val="0"/>
        <w:spacing w:before="156" w:beforeLines="50" w:line="400" w:lineRule="exact"/>
        <w:rPr>
          <w:rFonts w:ascii="宋体" w:hAnsi="宋体" w:cs="Arial"/>
          <w:sz w:val="24"/>
          <w:szCs w:val="24"/>
          <w:highlight w:val="none"/>
        </w:rPr>
      </w:pPr>
      <w:r>
        <w:rPr>
          <w:rFonts w:hint="eastAsia" w:ascii="宋体" w:hAnsi="宋体" w:cs="Arial"/>
          <w:sz w:val="24"/>
          <w:szCs w:val="24"/>
          <w:highlight w:val="none"/>
        </w:rPr>
        <w:t>移动电话：-------------</w:t>
      </w:r>
    </w:p>
    <w:p>
      <w:pPr>
        <w:snapToGrid w:val="0"/>
        <w:spacing w:before="156" w:beforeLines="50" w:line="400" w:lineRule="exact"/>
        <w:rPr>
          <w:rFonts w:ascii="宋体" w:hAnsi="宋体" w:cs="Arial"/>
          <w:sz w:val="24"/>
          <w:szCs w:val="24"/>
          <w:highlight w:val="none"/>
        </w:rPr>
      </w:pPr>
      <w:r>
        <w:rPr>
          <w:rFonts w:hint="eastAsia" w:ascii="宋体" w:hAnsi="宋体" w:cs="Arial"/>
          <w:sz w:val="24"/>
          <w:szCs w:val="24"/>
          <w:highlight w:val="none"/>
        </w:rPr>
        <w:t>日期：年-----月-----日</w:t>
      </w:r>
    </w:p>
    <w:p>
      <w:pPr>
        <w:pStyle w:val="39"/>
        <w:ind w:firstLine="0" w:firstLineChars="0"/>
        <w:rPr>
          <w:rFonts w:ascii="宋体" w:hAnsi="宋体"/>
          <w:highlight w:val="none"/>
        </w:rPr>
      </w:pPr>
      <w:r>
        <w:rPr>
          <w:rFonts w:ascii="宋体" w:hAnsi="宋体"/>
          <w:highlight w:val="none"/>
        </w:rPr>
        <w:br w:type="page"/>
      </w:r>
      <w:r>
        <w:rPr>
          <w:rFonts w:hint="eastAsia" w:ascii="宋体" w:hAnsi="宋体"/>
          <w:sz w:val="21"/>
          <w:szCs w:val="21"/>
          <w:highlight w:val="none"/>
        </w:rPr>
        <w:t>附件二</w:t>
      </w:r>
      <w:r>
        <w:rPr>
          <w:rFonts w:hint="eastAsia" w:ascii="宋体" w:hAnsi="宋体"/>
          <w:highlight w:val="none"/>
        </w:rPr>
        <w:t>：</w:t>
      </w:r>
    </w:p>
    <w:p>
      <w:pPr>
        <w:pStyle w:val="39"/>
        <w:ind w:firstLine="0" w:firstLineChars="0"/>
        <w:rPr>
          <w:rFonts w:ascii="宋体" w:hAnsi="宋体"/>
          <w:highlight w:val="none"/>
        </w:rPr>
      </w:pPr>
    </w:p>
    <w:p>
      <w:pPr>
        <w:snapToGrid w:val="0"/>
        <w:jc w:val="center"/>
        <w:rPr>
          <w:rFonts w:ascii="宋体" w:hAnsi="宋体"/>
          <w:color w:val="000000"/>
          <w:sz w:val="32"/>
          <w:szCs w:val="24"/>
          <w:highlight w:val="none"/>
        </w:rPr>
      </w:pPr>
      <w:r>
        <w:rPr>
          <w:rFonts w:hint="eastAsia" w:ascii="宋体" w:hAnsi="宋体"/>
          <w:color w:val="000000"/>
          <w:sz w:val="32"/>
          <w:szCs w:val="24"/>
          <w:highlight w:val="none"/>
        </w:rPr>
        <w:t>投</w:t>
      </w:r>
      <w:r>
        <w:rPr>
          <w:rFonts w:ascii="宋体" w:hAnsi="宋体"/>
          <w:color w:val="000000"/>
          <w:sz w:val="32"/>
          <w:szCs w:val="24"/>
          <w:highlight w:val="none"/>
        </w:rPr>
        <w:t xml:space="preserve"> </w:t>
      </w:r>
      <w:r>
        <w:rPr>
          <w:rFonts w:hint="eastAsia" w:ascii="宋体" w:hAnsi="宋体"/>
          <w:color w:val="000000"/>
          <w:sz w:val="32"/>
          <w:szCs w:val="24"/>
          <w:highlight w:val="none"/>
        </w:rPr>
        <w:t>标</w:t>
      </w:r>
      <w:r>
        <w:rPr>
          <w:rFonts w:ascii="宋体" w:hAnsi="宋体"/>
          <w:color w:val="000000"/>
          <w:sz w:val="32"/>
          <w:szCs w:val="24"/>
          <w:highlight w:val="none"/>
        </w:rPr>
        <w:t xml:space="preserve"> </w:t>
      </w:r>
      <w:r>
        <w:rPr>
          <w:rFonts w:hint="eastAsia" w:ascii="宋体" w:hAnsi="宋体"/>
          <w:color w:val="000000"/>
          <w:sz w:val="32"/>
          <w:szCs w:val="24"/>
          <w:highlight w:val="none"/>
        </w:rPr>
        <w:t>函</w:t>
      </w:r>
    </w:p>
    <w:p>
      <w:pPr>
        <w:snapToGrid w:val="0"/>
        <w:rPr>
          <w:rFonts w:ascii="宋体" w:hAnsi="宋体"/>
          <w:color w:val="000000"/>
          <w:szCs w:val="24"/>
          <w:highlight w:val="none"/>
        </w:rPr>
      </w:pPr>
    </w:p>
    <w:p>
      <w:pPr>
        <w:pStyle w:val="39"/>
        <w:adjustRightInd w:val="0"/>
        <w:snapToGrid w:val="0"/>
        <w:spacing w:line="300" w:lineRule="auto"/>
        <w:ind w:left="-105" w:leftChars="-50" w:firstLine="0" w:firstLineChars="0"/>
        <w:rPr>
          <w:rFonts w:ascii="宋体" w:hAnsi="宋体"/>
          <w:szCs w:val="24"/>
          <w:highlight w:val="none"/>
        </w:rPr>
      </w:pPr>
    </w:p>
    <w:p>
      <w:pPr>
        <w:pStyle w:val="39"/>
        <w:adjustRightInd w:val="0"/>
        <w:snapToGrid w:val="0"/>
        <w:spacing w:line="300" w:lineRule="auto"/>
        <w:ind w:left="-105" w:leftChars="-50" w:firstLine="0" w:firstLineChars="0"/>
        <w:rPr>
          <w:rFonts w:ascii="宋体" w:hAnsi="宋体"/>
          <w:color w:val="000000"/>
          <w:szCs w:val="24"/>
          <w:highlight w:val="none"/>
        </w:rPr>
      </w:pPr>
      <w:r>
        <w:rPr>
          <w:rFonts w:hint="eastAsia" w:ascii="宋体" w:hAnsi="宋体"/>
          <w:szCs w:val="24"/>
          <w:highlight w:val="none"/>
        </w:rPr>
        <w:t>__________________________（招标单位名称）：</w:t>
      </w:r>
    </w:p>
    <w:p>
      <w:pPr>
        <w:pStyle w:val="39"/>
        <w:adjustRightInd w:val="0"/>
        <w:snapToGrid w:val="0"/>
        <w:spacing w:line="300" w:lineRule="auto"/>
        <w:ind w:left="-105" w:leftChars="-50" w:firstLine="0" w:firstLineChars="0"/>
        <w:rPr>
          <w:rFonts w:ascii="宋体" w:hAnsi="宋体"/>
          <w:color w:val="000000"/>
          <w:sz w:val="21"/>
          <w:szCs w:val="21"/>
          <w:highlight w:val="none"/>
        </w:rPr>
      </w:pPr>
    </w:p>
    <w:p>
      <w:pPr>
        <w:pStyle w:val="39"/>
        <w:adjustRightInd w:val="0"/>
        <w:snapToGrid w:val="0"/>
        <w:spacing w:line="300" w:lineRule="auto"/>
        <w:ind w:left="-105" w:leftChars="-50" w:firstLine="523" w:firstLineChars="218"/>
        <w:rPr>
          <w:rFonts w:ascii="宋体" w:hAnsi="宋体"/>
          <w:szCs w:val="24"/>
          <w:highlight w:val="none"/>
        </w:rPr>
      </w:pPr>
      <w:r>
        <w:rPr>
          <w:rFonts w:ascii="宋体" w:hAnsi="宋体"/>
          <w:szCs w:val="24"/>
          <w:highlight w:val="none"/>
          <w:u w:val="single"/>
        </w:rPr>
        <w:t xml:space="preserve">                  </w:t>
      </w:r>
      <w:r>
        <w:rPr>
          <w:rFonts w:hint="eastAsia" w:ascii="宋体" w:hAnsi="宋体"/>
          <w:szCs w:val="24"/>
          <w:highlight w:val="none"/>
        </w:rPr>
        <w:t>（投标人全称）授权</w:t>
      </w:r>
      <w:r>
        <w:rPr>
          <w:rFonts w:ascii="宋体" w:hAnsi="宋体"/>
          <w:szCs w:val="24"/>
          <w:highlight w:val="none"/>
          <w:u w:val="single"/>
        </w:rPr>
        <w:t xml:space="preserve">       </w:t>
      </w:r>
      <w:r>
        <w:rPr>
          <w:rFonts w:hint="eastAsia" w:ascii="宋体" w:hAnsi="宋体"/>
          <w:szCs w:val="24"/>
          <w:highlight w:val="none"/>
        </w:rPr>
        <w:t>（授权代理人姓名）</w:t>
      </w:r>
      <w:r>
        <w:rPr>
          <w:rFonts w:ascii="宋体" w:hAnsi="宋体"/>
          <w:szCs w:val="24"/>
          <w:highlight w:val="none"/>
          <w:u w:val="single"/>
        </w:rPr>
        <w:t xml:space="preserve">       </w:t>
      </w:r>
      <w:r>
        <w:rPr>
          <w:rFonts w:hint="eastAsia" w:ascii="宋体" w:hAnsi="宋体"/>
          <w:szCs w:val="24"/>
          <w:highlight w:val="none"/>
        </w:rPr>
        <w:t>（职务）为我方代表，参加贵方组织的</w:t>
      </w:r>
      <w:r>
        <w:rPr>
          <w:rFonts w:ascii="宋体" w:hAnsi="宋体"/>
          <w:szCs w:val="24"/>
          <w:highlight w:val="none"/>
          <w:u w:val="single"/>
        </w:rPr>
        <w:t xml:space="preserve">                </w:t>
      </w:r>
      <w:r>
        <w:rPr>
          <w:rFonts w:hint="eastAsia" w:ascii="宋体" w:hAnsi="宋体"/>
          <w:szCs w:val="24"/>
          <w:highlight w:val="none"/>
        </w:rPr>
        <w:t>（项目名称、项目编号）招标的有关活动，并对此项目进行投标。为此：</w:t>
      </w:r>
      <w:r>
        <w:rPr>
          <w:rFonts w:ascii="宋体" w:hAnsi="宋体"/>
          <w:szCs w:val="24"/>
          <w:highlight w:val="none"/>
        </w:rPr>
        <w:t xml:space="preserve"> </w:t>
      </w:r>
    </w:p>
    <w:p>
      <w:pPr>
        <w:pStyle w:val="55"/>
        <w:numPr>
          <w:ilvl w:val="0"/>
          <w:numId w:val="22"/>
        </w:numPr>
        <w:adjustRightInd w:val="0"/>
        <w:snapToGrid w:val="0"/>
        <w:spacing w:line="300" w:lineRule="auto"/>
        <w:ind w:left="-105" w:leftChars="-50" w:firstLine="523" w:firstLineChars="218"/>
        <w:rPr>
          <w:rFonts w:ascii="宋体" w:hAnsi="宋体"/>
          <w:szCs w:val="24"/>
          <w:highlight w:val="none"/>
        </w:rPr>
      </w:pPr>
      <w:r>
        <w:rPr>
          <w:rFonts w:hint="eastAsia" w:ascii="宋体" w:hAnsi="宋体"/>
          <w:szCs w:val="24"/>
          <w:highlight w:val="none"/>
        </w:rPr>
        <w:t>我方同意在本项目招标文件中规定的开标之日起</w:t>
      </w:r>
      <w:r>
        <w:rPr>
          <w:rFonts w:hint="eastAsia" w:ascii="宋体" w:hAnsi="宋体"/>
          <w:szCs w:val="24"/>
          <w:highlight w:val="none"/>
          <w:u w:val="single"/>
        </w:rPr>
        <w:t xml:space="preserve"> 90 </w:t>
      </w:r>
      <w:r>
        <w:rPr>
          <w:rFonts w:hint="eastAsia" w:ascii="宋体" w:hAnsi="宋体"/>
          <w:szCs w:val="24"/>
          <w:highlight w:val="none"/>
        </w:rPr>
        <w:t>日内遵守投标文件中的承诺且在此期限届满之前均具有约束力。</w:t>
      </w:r>
    </w:p>
    <w:p>
      <w:pPr>
        <w:pStyle w:val="55"/>
        <w:adjustRightInd w:val="0"/>
        <w:snapToGrid w:val="0"/>
        <w:spacing w:line="300" w:lineRule="auto"/>
        <w:ind w:left="-105" w:leftChars="-50" w:firstLine="523" w:firstLineChars="218"/>
        <w:rPr>
          <w:rFonts w:ascii="宋体" w:hAnsi="宋体"/>
          <w:szCs w:val="24"/>
          <w:highlight w:val="none"/>
        </w:rPr>
      </w:pPr>
      <w:r>
        <w:rPr>
          <w:rFonts w:hint="eastAsia" w:ascii="宋体" w:hAnsi="宋体"/>
          <w:szCs w:val="24"/>
          <w:highlight w:val="none"/>
        </w:rPr>
        <w:t>提供《投标人须知》规定的全部投标文件，正本</w:t>
      </w:r>
      <w:r>
        <w:rPr>
          <w:rFonts w:ascii="宋体" w:hAnsi="宋体"/>
          <w:szCs w:val="24"/>
          <w:highlight w:val="none"/>
          <w:u w:val="single"/>
        </w:rPr>
        <w:t xml:space="preserve"> </w:t>
      </w:r>
      <w:r>
        <w:rPr>
          <w:rFonts w:hint="eastAsia" w:ascii="宋体" w:hAnsi="宋体"/>
          <w:szCs w:val="24"/>
          <w:highlight w:val="none"/>
          <w:u w:val="single"/>
        </w:rPr>
        <w:t xml:space="preserve">壹 </w:t>
      </w:r>
      <w:r>
        <w:rPr>
          <w:rFonts w:hint="eastAsia" w:ascii="宋体" w:hAnsi="宋体"/>
          <w:szCs w:val="24"/>
          <w:highlight w:val="none"/>
        </w:rPr>
        <w:t>份，副本</w:t>
      </w:r>
      <w:r>
        <w:rPr>
          <w:rFonts w:hint="eastAsia" w:ascii="宋体" w:hAnsi="宋体"/>
          <w:szCs w:val="24"/>
          <w:highlight w:val="none"/>
          <w:u w:val="single"/>
        </w:rPr>
        <w:t xml:space="preserve"> 肆</w:t>
      </w:r>
      <w:r>
        <w:rPr>
          <w:rFonts w:ascii="宋体" w:hAnsi="宋体"/>
          <w:szCs w:val="24"/>
          <w:highlight w:val="none"/>
          <w:u w:val="single"/>
        </w:rPr>
        <w:t xml:space="preserve"> </w:t>
      </w:r>
      <w:r>
        <w:rPr>
          <w:rFonts w:hint="eastAsia" w:ascii="宋体" w:hAnsi="宋体"/>
          <w:szCs w:val="24"/>
          <w:highlight w:val="none"/>
        </w:rPr>
        <w:t>份。</w:t>
      </w:r>
    </w:p>
    <w:p>
      <w:pPr>
        <w:pStyle w:val="55"/>
        <w:adjustRightInd w:val="0"/>
        <w:snapToGrid w:val="0"/>
        <w:spacing w:line="300" w:lineRule="auto"/>
        <w:ind w:left="-105" w:leftChars="-50" w:firstLine="523" w:firstLineChars="218"/>
        <w:rPr>
          <w:rFonts w:ascii="宋体" w:hAnsi="宋体"/>
          <w:szCs w:val="24"/>
          <w:highlight w:val="none"/>
        </w:rPr>
      </w:pPr>
      <w:r>
        <w:rPr>
          <w:rFonts w:hint="eastAsia" w:ascii="宋体" w:hAnsi="宋体"/>
          <w:szCs w:val="24"/>
          <w:highlight w:val="none"/>
        </w:rPr>
        <w:t>按招标文件规定提供产品的投标总价为（大写）</w:t>
      </w:r>
      <w:r>
        <w:rPr>
          <w:rFonts w:ascii="宋体" w:hAnsi="宋体"/>
          <w:szCs w:val="24"/>
          <w:highlight w:val="none"/>
          <w:u w:val="single"/>
        </w:rPr>
        <w:t xml:space="preserve">    </w:t>
      </w:r>
      <w:r>
        <w:rPr>
          <w:rFonts w:hint="eastAsia" w:ascii="宋体" w:hAnsi="宋体"/>
          <w:szCs w:val="24"/>
          <w:highlight w:val="none"/>
        </w:rPr>
        <w:t>元人民币。</w:t>
      </w:r>
    </w:p>
    <w:p>
      <w:pPr>
        <w:pStyle w:val="55"/>
        <w:adjustRightInd w:val="0"/>
        <w:snapToGrid w:val="0"/>
        <w:spacing w:line="300" w:lineRule="auto"/>
        <w:ind w:left="-105" w:leftChars="-50" w:firstLine="523" w:firstLineChars="218"/>
        <w:rPr>
          <w:rFonts w:ascii="宋体" w:hAnsi="宋体"/>
          <w:szCs w:val="24"/>
          <w:highlight w:val="none"/>
        </w:rPr>
      </w:pPr>
      <w:r>
        <w:rPr>
          <w:rFonts w:hint="eastAsia" w:ascii="宋体" w:hAnsi="宋体"/>
          <w:szCs w:val="24"/>
          <w:highlight w:val="none"/>
        </w:rPr>
        <w:t>投标人将按招标文件的规定履行合同责任和义务。</w:t>
      </w:r>
    </w:p>
    <w:p>
      <w:pPr>
        <w:pStyle w:val="55"/>
        <w:adjustRightInd w:val="0"/>
        <w:snapToGrid w:val="0"/>
        <w:spacing w:line="300" w:lineRule="auto"/>
        <w:ind w:left="-105" w:leftChars="-50" w:firstLine="523" w:firstLineChars="218"/>
        <w:rPr>
          <w:rFonts w:ascii="宋体" w:hAnsi="宋体"/>
          <w:szCs w:val="24"/>
          <w:highlight w:val="none"/>
        </w:rPr>
      </w:pPr>
      <w:r>
        <w:rPr>
          <w:rFonts w:hint="eastAsia" w:ascii="宋体" w:hAnsi="宋体"/>
          <w:szCs w:val="24"/>
          <w:highlight w:val="none"/>
        </w:rPr>
        <w:t>投标人已详细审查全部招标文件，包括补充文件（如果有的话），确认无误。</w:t>
      </w:r>
    </w:p>
    <w:p>
      <w:pPr>
        <w:pStyle w:val="55"/>
        <w:adjustRightInd w:val="0"/>
        <w:snapToGrid w:val="0"/>
        <w:spacing w:line="300" w:lineRule="auto"/>
        <w:ind w:left="-105" w:leftChars="-50" w:firstLine="523" w:firstLineChars="218"/>
        <w:rPr>
          <w:rFonts w:ascii="宋体" w:hAnsi="宋体"/>
          <w:szCs w:val="24"/>
          <w:highlight w:val="none"/>
        </w:rPr>
      </w:pPr>
      <w:r>
        <w:rPr>
          <w:rFonts w:hint="eastAsia" w:ascii="宋体" w:hAnsi="宋体"/>
          <w:szCs w:val="24"/>
          <w:highlight w:val="none"/>
        </w:rPr>
        <w:t>在规定的开标时间后，投标人保证遵守招标文件中有关的规定。</w:t>
      </w:r>
    </w:p>
    <w:p>
      <w:pPr>
        <w:pStyle w:val="55"/>
        <w:adjustRightInd w:val="0"/>
        <w:snapToGrid w:val="0"/>
        <w:spacing w:line="300" w:lineRule="auto"/>
        <w:ind w:left="-105" w:leftChars="-50" w:firstLine="523" w:firstLineChars="218"/>
        <w:rPr>
          <w:rFonts w:ascii="宋体" w:hAnsi="宋体"/>
          <w:szCs w:val="24"/>
          <w:highlight w:val="none"/>
        </w:rPr>
      </w:pPr>
      <w:r>
        <w:rPr>
          <w:rFonts w:hint="eastAsia" w:ascii="宋体" w:hAnsi="宋体"/>
          <w:szCs w:val="24"/>
          <w:highlight w:val="none"/>
        </w:rPr>
        <w:t>根据投标人须知，我方承诺，与贵方聘请的为此项目提供咨询服务的公司及任何附属机构均无关联，我方不是贵方的附属机构。</w:t>
      </w:r>
    </w:p>
    <w:p>
      <w:pPr>
        <w:pStyle w:val="55"/>
        <w:adjustRightInd w:val="0"/>
        <w:snapToGrid w:val="0"/>
        <w:spacing w:line="300" w:lineRule="auto"/>
        <w:ind w:left="-105" w:leftChars="-50" w:firstLine="523" w:firstLineChars="218"/>
        <w:rPr>
          <w:rFonts w:ascii="宋体" w:hAnsi="宋体"/>
          <w:szCs w:val="24"/>
          <w:highlight w:val="none"/>
        </w:rPr>
      </w:pPr>
      <w:r>
        <w:rPr>
          <w:rFonts w:hint="eastAsia" w:ascii="宋体" w:hAnsi="宋体"/>
          <w:szCs w:val="24"/>
          <w:highlight w:val="none"/>
        </w:rPr>
        <w:t>投标人同意提供按照贵方可能要求的与投标有关的一切数据或资料，完全理解贵方不一定接受最低价的投标或收到的任何投标。</w:t>
      </w:r>
    </w:p>
    <w:p>
      <w:pPr>
        <w:adjustRightInd w:val="0"/>
        <w:snapToGrid w:val="0"/>
        <w:spacing w:line="300" w:lineRule="auto"/>
        <w:ind w:left="-105" w:leftChars="-50" w:firstLine="523" w:firstLineChars="218"/>
        <w:rPr>
          <w:rFonts w:ascii="宋体" w:hAnsi="宋体"/>
          <w:sz w:val="24"/>
          <w:szCs w:val="24"/>
          <w:highlight w:val="none"/>
        </w:rPr>
      </w:pPr>
    </w:p>
    <w:p>
      <w:pPr>
        <w:adjustRightInd w:val="0"/>
        <w:snapToGrid w:val="0"/>
        <w:spacing w:line="300" w:lineRule="auto"/>
        <w:ind w:left="-105" w:leftChars="-50" w:firstLine="523" w:firstLineChars="218"/>
        <w:rPr>
          <w:rFonts w:ascii="宋体" w:hAnsi="宋体"/>
          <w:sz w:val="24"/>
          <w:szCs w:val="24"/>
          <w:highlight w:val="none"/>
        </w:rPr>
      </w:pPr>
    </w:p>
    <w:p>
      <w:pPr>
        <w:adjustRightInd w:val="0"/>
        <w:snapToGrid w:val="0"/>
        <w:spacing w:line="300" w:lineRule="auto"/>
        <w:ind w:left="-105" w:leftChars="-50" w:firstLine="523" w:firstLineChars="218"/>
        <w:rPr>
          <w:rFonts w:ascii="宋体" w:hAnsi="宋体"/>
          <w:sz w:val="24"/>
          <w:szCs w:val="24"/>
          <w:highlight w:val="none"/>
        </w:rPr>
      </w:pPr>
    </w:p>
    <w:p>
      <w:pPr>
        <w:adjustRightInd w:val="0"/>
        <w:snapToGrid w:val="0"/>
        <w:spacing w:before="156" w:beforeLines="50" w:after="156" w:afterLines="50" w:line="300" w:lineRule="auto"/>
        <w:ind w:left="-105" w:leftChars="-50" w:firstLine="523" w:firstLineChars="218"/>
        <w:rPr>
          <w:rFonts w:ascii="宋体" w:hAnsi="宋体"/>
          <w:sz w:val="24"/>
          <w:szCs w:val="24"/>
          <w:highlight w:val="none"/>
        </w:rPr>
      </w:pPr>
      <w:r>
        <w:rPr>
          <w:rFonts w:hint="eastAsia" w:ascii="宋体" w:hAnsi="宋体"/>
          <w:sz w:val="24"/>
          <w:szCs w:val="24"/>
          <w:highlight w:val="none"/>
        </w:rPr>
        <w:t>投标单位全名（盖章）：___________________________________________</w:t>
      </w:r>
    </w:p>
    <w:p>
      <w:pPr>
        <w:adjustRightInd w:val="0"/>
        <w:snapToGrid w:val="0"/>
        <w:spacing w:before="156" w:beforeLines="50" w:after="156" w:afterLines="50" w:line="300" w:lineRule="auto"/>
        <w:ind w:left="-105" w:leftChars="-50" w:firstLine="523" w:firstLineChars="218"/>
        <w:rPr>
          <w:rFonts w:ascii="宋体" w:hAnsi="宋体"/>
          <w:sz w:val="24"/>
          <w:szCs w:val="24"/>
          <w:highlight w:val="none"/>
        </w:rPr>
      </w:pPr>
      <w:r>
        <w:rPr>
          <w:rFonts w:hint="eastAsia" w:ascii="宋体" w:hAnsi="宋体"/>
          <w:sz w:val="24"/>
          <w:szCs w:val="24"/>
          <w:highlight w:val="none"/>
        </w:rPr>
        <w:t>投标人法人代表（签字）：_________________________________________</w:t>
      </w:r>
    </w:p>
    <w:p>
      <w:pPr>
        <w:adjustRightInd w:val="0"/>
        <w:snapToGrid w:val="0"/>
        <w:spacing w:before="156" w:beforeLines="50" w:after="156" w:afterLines="50" w:line="300" w:lineRule="auto"/>
        <w:ind w:left="-105" w:leftChars="-50" w:firstLine="523" w:firstLineChars="218"/>
        <w:rPr>
          <w:rFonts w:ascii="宋体" w:hAnsi="宋体"/>
          <w:sz w:val="24"/>
          <w:szCs w:val="24"/>
          <w:highlight w:val="none"/>
        </w:rPr>
      </w:pPr>
      <w:r>
        <w:rPr>
          <w:rFonts w:hint="eastAsia" w:ascii="宋体" w:hAnsi="宋体"/>
          <w:sz w:val="24"/>
          <w:szCs w:val="24"/>
          <w:highlight w:val="none"/>
        </w:rPr>
        <w:t>日</w:t>
      </w:r>
      <w:r>
        <w:rPr>
          <w:rFonts w:ascii="宋体" w:hAnsi="宋体"/>
          <w:sz w:val="24"/>
          <w:szCs w:val="24"/>
          <w:highlight w:val="none"/>
        </w:rPr>
        <w:t xml:space="preserve">      </w:t>
      </w:r>
      <w:r>
        <w:rPr>
          <w:rFonts w:hint="eastAsia" w:ascii="宋体" w:hAnsi="宋体"/>
          <w:sz w:val="24"/>
          <w:szCs w:val="24"/>
          <w:highlight w:val="none"/>
        </w:rPr>
        <w:t>期：</w:t>
      </w:r>
      <w:r>
        <w:rPr>
          <w:rFonts w:ascii="宋体" w:hAnsi="宋体"/>
          <w:sz w:val="24"/>
          <w:szCs w:val="24"/>
          <w:highlight w:val="none"/>
          <w:u w:val="single"/>
        </w:rPr>
        <w:t xml:space="preserve">     </w:t>
      </w:r>
      <w:r>
        <w:rPr>
          <w:rFonts w:hint="eastAsia" w:ascii="宋体" w:hAnsi="宋体"/>
          <w:sz w:val="24"/>
          <w:szCs w:val="24"/>
          <w:highlight w:val="none"/>
        </w:rPr>
        <w:t>年</w:t>
      </w:r>
      <w:r>
        <w:rPr>
          <w:rFonts w:ascii="宋体" w:hAnsi="宋体"/>
          <w:sz w:val="24"/>
          <w:szCs w:val="24"/>
          <w:highlight w:val="none"/>
          <w:u w:val="single"/>
        </w:rPr>
        <w:t xml:space="preserve">    </w:t>
      </w:r>
      <w:r>
        <w:rPr>
          <w:rFonts w:hint="eastAsia" w:ascii="宋体" w:hAnsi="宋体"/>
          <w:sz w:val="24"/>
          <w:szCs w:val="24"/>
          <w:highlight w:val="none"/>
        </w:rPr>
        <w:t>月</w:t>
      </w:r>
      <w:r>
        <w:rPr>
          <w:rFonts w:ascii="宋体" w:hAnsi="宋体"/>
          <w:sz w:val="24"/>
          <w:szCs w:val="24"/>
          <w:highlight w:val="none"/>
          <w:u w:val="single"/>
        </w:rPr>
        <w:t xml:space="preserve">     </w:t>
      </w:r>
      <w:r>
        <w:rPr>
          <w:rFonts w:hint="eastAsia" w:ascii="宋体" w:hAnsi="宋体"/>
          <w:sz w:val="24"/>
          <w:szCs w:val="24"/>
          <w:highlight w:val="none"/>
        </w:rPr>
        <w:t>日</w:t>
      </w:r>
    </w:p>
    <w:p>
      <w:pPr>
        <w:adjustRightInd w:val="0"/>
        <w:snapToGrid w:val="0"/>
        <w:spacing w:before="156" w:beforeLines="50" w:after="156" w:afterLines="50" w:line="300" w:lineRule="auto"/>
        <w:ind w:left="-105" w:leftChars="-50" w:firstLine="523" w:firstLineChars="218"/>
        <w:rPr>
          <w:rFonts w:ascii="宋体" w:hAnsi="宋体"/>
          <w:sz w:val="24"/>
          <w:szCs w:val="24"/>
          <w:highlight w:val="none"/>
        </w:rPr>
      </w:pPr>
      <w:r>
        <w:rPr>
          <w:rFonts w:hint="eastAsia" w:ascii="宋体" w:hAnsi="宋体"/>
          <w:sz w:val="24"/>
          <w:szCs w:val="24"/>
          <w:highlight w:val="none"/>
        </w:rPr>
        <w:t>全权代表签字：</w:t>
      </w:r>
      <w:r>
        <w:rPr>
          <w:rFonts w:ascii="宋体" w:hAnsi="宋体"/>
          <w:sz w:val="24"/>
          <w:szCs w:val="24"/>
          <w:highlight w:val="none"/>
          <w:u w:val="single"/>
        </w:rPr>
        <w:t xml:space="preserve">               </w:t>
      </w:r>
      <w:r>
        <w:rPr>
          <w:rFonts w:hint="eastAsia" w:ascii="宋体" w:hAnsi="宋体"/>
          <w:sz w:val="24"/>
          <w:szCs w:val="24"/>
          <w:highlight w:val="none"/>
          <w:u w:val="single"/>
        </w:rPr>
        <w:t>___________________________________</w:t>
      </w:r>
    </w:p>
    <w:p>
      <w:pPr>
        <w:pStyle w:val="39"/>
        <w:ind w:firstLine="480"/>
        <w:rPr>
          <w:rFonts w:ascii="宋体" w:hAnsi="宋体"/>
          <w:highlight w:val="none"/>
        </w:rPr>
      </w:pPr>
    </w:p>
    <w:p>
      <w:pPr>
        <w:pStyle w:val="39"/>
        <w:ind w:firstLine="480"/>
        <w:rPr>
          <w:rFonts w:ascii="宋体" w:hAnsi="宋体"/>
          <w:highlight w:val="none"/>
        </w:rPr>
      </w:pPr>
    </w:p>
    <w:p>
      <w:pPr>
        <w:pStyle w:val="39"/>
        <w:ind w:firstLine="0" w:firstLineChars="0"/>
        <w:rPr>
          <w:rFonts w:ascii="宋体" w:hAnsi="宋体"/>
          <w:highlight w:val="none"/>
        </w:rPr>
      </w:pPr>
      <w:r>
        <w:rPr>
          <w:rFonts w:hint="eastAsia" w:ascii="宋体" w:hAnsi="宋体"/>
          <w:sz w:val="21"/>
          <w:szCs w:val="21"/>
          <w:highlight w:val="none"/>
        </w:rPr>
        <w:t>附件三</w:t>
      </w:r>
      <w:r>
        <w:rPr>
          <w:rFonts w:hint="eastAsia" w:ascii="宋体" w:hAnsi="宋体"/>
          <w:highlight w:val="none"/>
        </w:rPr>
        <w:t>：</w:t>
      </w:r>
    </w:p>
    <w:p>
      <w:pPr>
        <w:pStyle w:val="39"/>
        <w:ind w:firstLine="0" w:firstLineChars="0"/>
        <w:rPr>
          <w:rFonts w:ascii="宋体" w:hAnsi="宋体"/>
          <w:highlight w:val="none"/>
        </w:rPr>
      </w:pPr>
    </w:p>
    <w:p>
      <w:pPr>
        <w:spacing w:line="360" w:lineRule="auto"/>
        <w:jc w:val="center"/>
        <w:rPr>
          <w:rFonts w:ascii="宋体" w:hAnsi="宋体"/>
          <w:sz w:val="32"/>
          <w:highlight w:val="none"/>
        </w:rPr>
      </w:pPr>
      <w:r>
        <w:rPr>
          <w:rFonts w:hint="eastAsia" w:ascii="宋体" w:hAnsi="宋体"/>
          <w:sz w:val="32"/>
          <w:highlight w:val="none"/>
        </w:rPr>
        <w:t>开标一览表</w:t>
      </w:r>
    </w:p>
    <w:p>
      <w:pPr>
        <w:tabs>
          <w:tab w:val="left" w:pos="1800"/>
          <w:tab w:val="left" w:pos="5580"/>
        </w:tabs>
        <w:spacing w:line="360" w:lineRule="auto"/>
        <w:jc w:val="left"/>
        <w:rPr>
          <w:rFonts w:ascii="宋体" w:hAnsi="宋体"/>
          <w:sz w:val="24"/>
          <w:szCs w:val="24"/>
          <w:highlight w:val="none"/>
        </w:rPr>
      </w:pPr>
      <w:r>
        <w:rPr>
          <w:rFonts w:hint="eastAsia" w:ascii="宋体" w:hAnsi="宋体"/>
          <w:sz w:val="24"/>
          <w:szCs w:val="24"/>
          <w:highlight w:val="none"/>
        </w:rPr>
        <w:t xml:space="preserve">                                       </w:t>
      </w:r>
    </w:p>
    <w:tbl>
      <w:tblPr>
        <w:tblStyle w:val="37"/>
        <w:tblW w:w="96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22"/>
        <w:gridCol w:w="4438"/>
        <w:gridCol w:w="2581"/>
        <w:gridCol w:w="1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10" w:hRule="atLeast"/>
          <w:jc w:val="center"/>
        </w:trPr>
        <w:tc>
          <w:tcPr>
            <w:tcW w:w="1022" w:type="dxa"/>
            <w:vAlign w:val="center"/>
          </w:tcPr>
          <w:p>
            <w:pPr>
              <w:snapToGrid w:val="0"/>
              <w:spacing w:line="288" w:lineRule="auto"/>
              <w:jc w:val="center"/>
              <w:rPr>
                <w:rFonts w:ascii="宋体" w:hAnsi="宋体"/>
                <w:b/>
                <w:bCs/>
                <w:color w:val="000000"/>
                <w:sz w:val="24"/>
                <w:highlight w:val="none"/>
              </w:rPr>
            </w:pPr>
            <w:r>
              <w:rPr>
                <w:rFonts w:ascii="宋体" w:hAnsi="宋体"/>
                <w:b/>
                <w:bCs/>
                <w:color w:val="000000"/>
                <w:sz w:val="24"/>
                <w:highlight w:val="none"/>
              </w:rPr>
              <w:t>序号</w:t>
            </w:r>
          </w:p>
        </w:tc>
        <w:tc>
          <w:tcPr>
            <w:tcW w:w="4438" w:type="dxa"/>
            <w:tcBorders>
              <w:right w:val="single" w:color="auto" w:sz="4" w:space="0"/>
            </w:tcBorders>
            <w:vAlign w:val="center"/>
          </w:tcPr>
          <w:p>
            <w:pPr>
              <w:snapToGrid w:val="0"/>
              <w:spacing w:line="288" w:lineRule="auto"/>
              <w:jc w:val="center"/>
              <w:rPr>
                <w:rFonts w:ascii="宋体" w:hAnsi="宋体"/>
                <w:b/>
                <w:bCs/>
                <w:color w:val="000000"/>
                <w:sz w:val="24"/>
                <w:highlight w:val="none"/>
              </w:rPr>
            </w:pPr>
            <w:r>
              <w:rPr>
                <w:rFonts w:ascii="宋体" w:hAnsi="宋体"/>
                <w:b/>
                <w:bCs/>
                <w:color w:val="000000"/>
                <w:sz w:val="24"/>
                <w:highlight w:val="none"/>
              </w:rPr>
              <w:t>服务内容</w:t>
            </w:r>
          </w:p>
        </w:tc>
        <w:tc>
          <w:tcPr>
            <w:tcW w:w="2581" w:type="dxa"/>
            <w:vAlign w:val="center"/>
          </w:tcPr>
          <w:p>
            <w:pPr>
              <w:snapToGrid w:val="0"/>
              <w:spacing w:line="288" w:lineRule="auto"/>
              <w:jc w:val="center"/>
              <w:rPr>
                <w:rFonts w:ascii="宋体" w:hAnsi="宋体"/>
                <w:b/>
                <w:bCs/>
                <w:color w:val="000000"/>
                <w:sz w:val="24"/>
                <w:highlight w:val="none"/>
              </w:rPr>
            </w:pPr>
            <w:r>
              <w:rPr>
                <w:rFonts w:ascii="宋体" w:hAnsi="宋体"/>
                <w:b/>
                <w:bCs/>
                <w:color w:val="000000"/>
                <w:sz w:val="24"/>
                <w:highlight w:val="none"/>
              </w:rPr>
              <w:t>投标报价</w:t>
            </w:r>
          </w:p>
        </w:tc>
        <w:tc>
          <w:tcPr>
            <w:tcW w:w="1654" w:type="dxa"/>
            <w:vAlign w:val="center"/>
          </w:tcPr>
          <w:p>
            <w:pPr>
              <w:snapToGrid w:val="0"/>
              <w:spacing w:line="288" w:lineRule="auto"/>
              <w:jc w:val="center"/>
              <w:rPr>
                <w:rFonts w:ascii="宋体" w:hAnsi="宋体"/>
                <w:b/>
                <w:bCs/>
                <w:color w:val="000000"/>
                <w:sz w:val="24"/>
                <w:highlight w:val="none"/>
              </w:rPr>
            </w:pPr>
            <w:r>
              <w:rPr>
                <w:rFonts w:ascii="宋体" w:hAnsi="宋体"/>
                <w:b/>
                <w:bCs/>
                <w:color w:val="000000"/>
                <w:sz w:val="24"/>
                <w:highlight w:val="none"/>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10" w:hRule="atLeast"/>
          <w:jc w:val="center"/>
        </w:trPr>
        <w:tc>
          <w:tcPr>
            <w:tcW w:w="1022" w:type="dxa"/>
            <w:vAlign w:val="center"/>
          </w:tcPr>
          <w:p>
            <w:pPr>
              <w:snapToGrid w:val="0"/>
              <w:spacing w:line="288" w:lineRule="auto"/>
              <w:jc w:val="center"/>
              <w:rPr>
                <w:rFonts w:ascii="宋体" w:hAnsi="宋体"/>
                <w:color w:val="000000"/>
                <w:highlight w:val="none"/>
              </w:rPr>
            </w:pPr>
          </w:p>
        </w:tc>
        <w:tc>
          <w:tcPr>
            <w:tcW w:w="4438" w:type="dxa"/>
            <w:tcBorders>
              <w:right w:val="single" w:color="auto" w:sz="4" w:space="0"/>
            </w:tcBorders>
            <w:vAlign w:val="center"/>
          </w:tcPr>
          <w:p>
            <w:pPr>
              <w:snapToGrid w:val="0"/>
              <w:spacing w:line="288" w:lineRule="auto"/>
              <w:jc w:val="center"/>
              <w:rPr>
                <w:rFonts w:ascii="宋体" w:hAnsi="宋体"/>
                <w:color w:val="000000"/>
                <w:highlight w:val="none"/>
              </w:rPr>
            </w:pPr>
          </w:p>
        </w:tc>
        <w:tc>
          <w:tcPr>
            <w:tcW w:w="2581" w:type="dxa"/>
            <w:vAlign w:val="center"/>
          </w:tcPr>
          <w:p>
            <w:pPr>
              <w:spacing w:line="288" w:lineRule="auto"/>
              <w:rPr>
                <w:rFonts w:ascii="宋体" w:hAnsi="宋体"/>
                <w:color w:val="000000"/>
                <w:highlight w:val="none"/>
              </w:rPr>
            </w:pPr>
          </w:p>
        </w:tc>
        <w:tc>
          <w:tcPr>
            <w:tcW w:w="1654" w:type="dxa"/>
            <w:vAlign w:val="center"/>
          </w:tcPr>
          <w:p>
            <w:pPr>
              <w:snapToGrid w:val="0"/>
              <w:spacing w:line="288" w:lineRule="auto"/>
              <w:jc w:val="center"/>
              <w:rPr>
                <w:rFonts w:ascii="宋体" w:hAnsi="宋体"/>
                <w:color w:val="00000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10" w:hRule="atLeast"/>
          <w:jc w:val="center"/>
        </w:trPr>
        <w:tc>
          <w:tcPr>
            <w:tcW w:w="1022" w:type="dxa"/>
            <w:vAlign w:val="center"/>
          </w:tcPr>
          <w:p>
            <w:pPr>
              <w:snapToGrid w:val="0"/>
              <w:spacing w:line="288" w:lineRule="auto"/>
              <w:jc w:val="center"/>
              <w:rPr>
                <w:rFonts w:ascii="宋体" w:hAnsi="宋体"/>
                <w:color w:val="000000"/>
                <w:highlight w:val="none"/>
              </w:rPr>
            </w:pPr>
          </w:p>
        </w:tc>
        <w:tc>
          <w:tcPr>
            <w:tcW w:w="4438" w:type="dxa"/>
            <w:tcBorders>
              <w:right w:val="single" w:color="auto" w:sz="4" w:space="0"/>
            </w:tcBorders>
            <w:vAlign w:val="center"/>
          </w:tcPr>
          <w:p>
            <w:pPr>
              <w:snapToGrid w:val="0"/>
              <w:spacing w:line="288" w:lineRule="auto"/>
              <w:jc w:val="center"/>
              <w:rPr>
                <w:rFonts w:ascii="宋体" w:hAnsi="宋体"/>
                <w:color w:val="000000"/>
                <w:highlight w:val="none"/>
              </w:rPr>
            </w:pPr>
          </w:p>
        </w:tc>
        <w:tc>
          <w:tcPr>
            <w:tcW w:w="2581" w:type="dxa"/>
            <w:vAlign w:val="center"/>
          </w:tcPr>
          <w:p>
            <w:pPr>
              <w:spacing w:line="288" w:lineRule="auto"/>
              <w:rPr>
                <w:rFonts w:ascii="宋体" w:hAnsi="宋体"/>
                <w:color w:val="000000"/>
                <w:highlight w:val="none"/>
              </w:rPr>
            </w:pPr>
          </w:p>
        </w:tc>
        <w:tc>
          <w:tcPr>
            <w:tcW w:w="1654" w:type="dxa"/>
            <w:vAlign w:val="center"/>
          </w:tcPr>
          <w:p>
            <w:pPr>
              <w:snapToGrid w:val="0"/>
              <w:spacing w:line="288" w:lineRule="auto"/>
              <w:jc w:val="center"/>
              <w:rPr>
                <w:rFonts w:ascii="宋体" w:hAnsi="宋体"/>
                <w:color w:val="00000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10" w:hRule="atLeast"/>
          <w:jc w:val="center"/>
        </w:trPr>
        <w:tc>
          <w:tcPr>
            <w:tcW w:w="1022" w:type="dxa"/>
            <w:vAlign w:val="center"/>
          </w:tcPr>
          <w:p>
            <w:pPr>
              <w:snapToGrid w:val="0"/>
              <w:spacing w:line="288" w:lineRule="auto"/>
              <w:jc w:val="center"/>
              <w:rPr>
                <w:rFonts w:ascii="宋体" w:hAnsi="宋体"/>
                <w:color w:val="000000"/>
                <w:highlight w:val="none"/>
              </w:rPr>
            </w:pPr>
          </w:p>
        </w:tc>
        <w:tc>
          <w:tcPr>
            <w:tcW w:w="4438" w:type="dxa"/>
            <w:tcBorders>
              <w:right w:val="single" w:color="auto" w:sz="4" w:space="0"/>
            </w:tcBorders>
            <w:vAlign w:val="center"/>
          </w:tcPr>
          <w:p>
            <w:pPr>
              <w:snapToGrid w:val="0"/>
              <w:spacing w:line="288" w:lineRule="auto"/>
              <w:jc w:val="center"/>
              <w:rPr>
                <w:rFonts w:ascii="宋体" w:hAnsi="宋体"/>
                <w:color w:val="000000"/>
                <w:highlight w:val="none"/>
              </w:rPr>
            </w:pPr>
          </w:p>
        </w:tc>
        <w:tc>
          <w:tcPr>
            <w:tcW w:w="2581" w:type="dxa"/>
            <w:vAlign w:val="center"/>
          </w:tcPr>
          <w:p>
            <w:pPr>
              <w:spacing w:line="288" w:lineRule="auto"/>
              <w:rPr>
                <w:rFonts w:ascii="宋体" w:hAnsi="宋体"/>
                <w:color w:val="000000"/>
                <w:highlight w:val="none"/>
              </w:rPr>
            </w:pPr>
          </w:p>
        </w:tc>
        <w:tc>
          <w:tcPr>
            <w:tcW w:w="1654" w:type="dxa"/>
            <w:vAlign w:val="center"/>
          </w:tcPr>
          <w:p>
            <w:pPr>
              <w:snapToGrid w:val="0"/>
              <w:spacing w:line="288" w:lineRule="auto"/>
              <w:jc w:val="center"/>
              <w:rPr>
                <w:rFonts w:ascii="宋体" w:hAnsi="宋体"/>
                <w:color w:val="00000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10" w:hRule="atLeast"/>
          <w:jc w:val="center"/>
        </w:trPr>
        <w:tc>
          <w:tcPr>
            <w:tcW w:w="5460" w:type="dxa"/>
            <w:gridSpan w:val="2"/>
            <w:tcBorders>
              <w:right w:val="single" w:color="auto" w:sz="4" w:space="0"/>
            </w:tcBorders>
            <w:vAlign w:val="center"/>
          </w:tcPr>
          <w:p>
            <w:pPr>
              <w:snapToGrid w:val="0"/>
              <w:spacing w:line="288" w:lineRule="auto"/>
              <w:rPr>
                <w:rFonts w:ascii="宋体" w:hAnsi="宋体"/>
                <w:color w:val="000000"/>
                <w:highlight w:val="none"/>
              </w:rPr>
            </w:pPr>
            <w:r>
              <w:rPr>
                <w:rFonts w:ascii="宋体" w:hAnsi="宋体"/>
                <w:b/>
                <w:bCs/>
                <w:color w:val="000000"/>
                <w:sz w:val="24"/>
                <w:highlight w:val="none"/>
              </w:rPr>
              <w:t>投标总价</w:t>
            </w:r>
          </w:p>
        </w:tc>
        <w:tc>
          <w:tcPr>
            <w:tcW w:w="4235" w:type="dxa"/>
            <w:gridSpan w:val="2"/>
            <w:vAlign w:val="center"/>
          </w:tcPr>
          <w:p>
            <w:pPr>
              <w:snapToGrid w:val="0"/>
              <w:spacing w:line="288" w:lineRule="auto"/>
              <w:jc w:val="left"/>
              <w:rPr>
                <w:rFonts w:ascii="宋体" w:hAnsi="宋体"/>
                <w:b/>
                <w:color w:val="000000"/>
                <w:sz w:val="24"/>
                <w:highlight w:val="none"/>
              </w:rPr>
            </w:pPr>
            <w:r>
              <w:rPr>
                <w:rFonts w:hint="eastAsia" w:ascii="宋体" w:hAnsi="宋体"/>
                <w:b/>
                <w:color w:val="000000"/>
                <w:sz w:val="24"/>
                <w:highlight w:val="none"/>
              </w:rPr>
              <w:t>大写：</w:t>
            </w:r>
          </w:p>
          <w:p>
            <w:pPr>
              <w:pStyle w:val="23"/>
              <w:ind w:left="0" w:leftChars="0" w:firstLine="0" w:firstLineChars="0"/>
              <w:jc w:val="left"/>
              <w:rPr>
                <w:rFonts w:ascii="宋体" w:hAnsi="宋体"/>
                <w:highlight w:val="none"/>
              </w:rPr>
            </w:pPr>
            <w:r>
              <w:rPr>
                <w:rFonts w:hint="eastAsia" w:ascii="宋体" w:hAnsi="宋体"/>
                <w:b/>
                <w:sz w:val="24"/>
                <w:highlight w:val="none"/>
              </w:rPr>
              <w:t>小写：</w:t>
            </w:r>
          </w:p>
        </w:tc>
      </w:tr>
    </w:tbl>
    <w:p>
      <w:pPr>
        <w:spacing w:line="360" w:lineRule="auto"/>
        <w:rPr>
          <w:rFonts w:ascii="宋体" w:hAnsi="宋体" w:cs="Arial"/>
          <w:sz w:val="24"/>
          <w:szCs w:val="24"/>
          <w:highlight w:val="none"/>
        </w:rPr>
      </w:pPr>
      <w:r>
        <w:rPr>
          <w:rFonts w:ascii="宋体" w:hAnsi="宋体" w:cs="Arial"/>
          <w:sz w:val="24"/>
          <w:szCs w:val="24"/>
          <w:highlight w:val="none"/>
        </w:rPr>
        <w:t>供应商名称（盖章）：</w:t>
      </w:r>
      <w:r>
        <w:rPr>
          <w:rFonts w:ascii="宋体" w:hAnsi="宋体" w:cs="Arial"/>
          <w:sz w:val="24"/>
          <w:szCs w:val="24"/>
          <w:highlight w:val="none"/>
          <w:u w:val="single"/>
        </w:rPr>
        <w:t xml:space="preserve">                       </w:t>
      </w:r>
    </w:p>
    <w:p>
      <w:pPr>
        <w:pStyle w:val="19"/>
        <w:tabs>
          <w:tab w:val="left" w:pos="5580"/>
        </w:tabs>
        <w:spacing w:line="360" w:lineRule="auto"/>
        <w:rPr>
          <w:rFonts w:hAnsi="宋体" w:cs="Arial"/>
          <w:sz w:val="24"/>
          <w:szCs w:val="24"/>
          <w:highlight w:val="none"/>
          <w:u w:val="single"/>
        </w:rPr>
      </w:pPr>
      <w:r>
        <w:rPr>
          <w:rFonts w:hAnsi="宋体" w:cs="Arial"/>
          <w:sz w:val="24"/>
          <w:szCs w:val="24"/>
          <w:highlight w:val="none"/>
        </w:rPr>
        <w:t>供应商</w:t>
      </w:r>
      <w:r>
        <w:rPr>
          <w:rFonts w:hint="eastAsia" w:hAnsi="宋体" w:cs="Arial"/>
          <w:sz w:val="24"/>
          <w:szCs w:val="24"/>
          <w:highlight w:val="none"/>
        </w:rPr>
        <w:t>法定代表人或其</w:t>
      </w:r>
      <w:r>
        <w:rPr>
          <w:rFonts w:hAnsi="宋体" w:cs="Arial"/>
          <w:sz w:val="24"/>
          <w:szCs w:val="24"/>
          <w:highlight w:val="none"/>
        </w:rPr>
        <w:t>授权代表签字</w:t>
      </w:r>
      <w:r>
        <w:rPr>
          <w:rFonts w:hint="eastAsia" w:hAnsi="宋体" w:cs="Arial"/>
          <w:sz w:val="24"/>
          <w:szCs w:val="24"/>
          <w:highlight w:val="none"/>
        </w:rPr>
        <w:t>：</w:t>
      </w:r>
      <w:r>
        <w:rPr>
          <w:rFonts w:hAnsi="宋体" w:cs="Arial"/>
          <w:sz w:val="24"/>
          <w:szCs w:val="24"/>
          <w:highlight w:val="none"/>
          <w:u w:val="single"/>
        </w:rPr>
        <w:tab/>
      </w:r>
    </w:p>
    <w:p>
      <w:pPr>
        <w:pStyle w:val="39"/>
        <w:ind w:firstLine="643"/>
        <w:rPr>
          <w:rFonts w:ascii="宋体" w:hAnsi="宋体"/>
          <w:b/>
          <w:sz w:val="32"/>
          <w:highlight w:val="none"/>
        </w:rPr>
      </w:pPr>
    </w:p>
    <w:p>
      <w:pPr>
        <w:spacing w:line="360" w:lineRule="auto"/>
        <w:jc w:val="center"/>
        <w:rPr>
          <w:rFonts w:ascii="宋体" w:hAnsi="宋体"/>
          <w:b/>
          <w:sz w:val="32"/>
          <w:highlight w:val="none"/>
        </w:rPr>
      </w:pPr>
    </w:p>
    <w:p>
      <w:pPr>
        <w:spacing w:line="360" w:lineRule="auto"/>
        <w:jc w:val="center"/>
        <w:rPr>
          <w:rFonts w:ascii="宋体" w:hAnsi="宋体"/>
          <w:b/>
          <w:sz w:val="32"/>
          <w:highlight w:val="none"/>
        </w:rPr>
      </w:pPr>
    </w:p>
    <w:p>
      <w:pPr>
        <w:spacing w:line="360" w:lineRule="auto"/>
        <w:jc w:val="center"/>
        <w:rPr>
          <w:rFonts w:ascii="宋体" w:hAnsi="宋体"/>
          <w:b/>
          <w:sz w:val="32"/>
          <w:highlight w:val="none"/>
        </w:rPr>
      </w:pPr>
    </w:p>
    <w:p>
      <w:pPr>
        <w:spacing w:line="360" w:lineRule="auto"/>
        <w:jc w:val="center"/>
        <w:rPr>
          <w:rFonts w:ascii="宋体" w:hAnsi="宋体"/>
          <w:b/>
          <w:sz w:val="32"/>
          <w:highlight w:val="none"/>
        </w:rPr>
      </w:pPr>
    </w:p>
    <w:p>
      <w:pPr>
        <w:spacing w:line="360" w:lineRule="auto"/>
        <w:jc w:val="center"/>
        <w:rPr>
          <w:rFonts w:ascii="宋体" w:hAnsi="宋体"/>
          <w:b/>
          <w:sz w:val="32"/>
          <w:highlight w:val="none"/>
        </w:rPr>
      </w:pPr>
    </w:p>
    <w:p>
      <w:pPr>
        <w:spacing w:line="360" w:lineRule="auto"/>
        <w:jc w:val="center"/>
        <w:rPr>
          <w:rFonts w:ascii="宋体" w:hAnsi="宋体"/>
          <w:b/>
          <w:sz w:val="32"/>
          <w:highlight w:val="none"/>
        </w:rPr>
      </w:pPr>
    </w:p>
    <w:p>
      <w:pPr>
        <w:spacing w:line="360" w:lineRule="auto"/>
        <w:jc w:val="center"/>
        <w:rPr>
          <w:rFonts w:ascii="宋体" w:hAnsi="宋体"/>
          <w:b/>
          <w:sz w:val="32"/>
          <w:highlight w:val="none"/>
        </w:rPr>
      </w:pPr>
    </w:p>
    <w:p>
      <w:pPr>
        <w:spacing w:line="360" w:lineRule="auto"/>
        <w:jc w:val="center"/>
        <w:rPr>
          <w:rFonts w:ascii="宋体" w:hAnsi="宋体"/>
          <w:b/>
          <w:sz w:val="32"/>
          <w:highlight w:val="none"/>
        </w:rPr>
      </w:pPr>
    </w:p>
    <w:p>
      <w:pPr>
        <w:spacing w:line="360" w:lineRule="auto"/>
        <w:jc w:val="center"/>
        <w:rPr>
          <w:rFonts w:ascii="宋体" w:hAnsi="宋体"/>
          <w:b/>
          <w:sz w:val="32"/>
          <w:highlight w:val="none"/>
        </w:rPr>
      </w:pPr>
    </w:p>
    <w:p>
      <w:pPr>
        <w:spacing w:line="360" w:lineRule="auto"/>
        <w:jc w:val="left"/>
        <w:rPr>
          <w:rFonts w:ascii="宋体" w:hAnsi="宋体"/>
          <w:b/>
          <w:sz w:val="32"/>
          <w:highlight w:val="none"/>
        </w:rPr>
      </w:pPr>
    </w:p>
    <w:p>
      <w:pPr>
        <w:spacing w:line="360" w:lineRule="auto"/>
        <w:jc w:val="left"/>
        <w:rPr>
          <w:rFonts w:ascii="宋体" w:hAnsi="宋体"/>
          <w:b/>
          <w:sz w:val="32"/>
          <w:highlight w:val="none"/>
        </w:rPr>
      </w:pPr>
      <w:r>
        <w:rPr>
          <w:rFonts w:hint="eastAsia" w:ascii="宋体" w:hAnsi="宋体"/>
          <w:highlight w:val="none"/>
        </w:rPr>
        <w:t>附件四：</w:t>
      </w:r>
      <w:r>
        <w:rPr>
          <w:rFonts w:hint="eastAsia" w:ascii="宋体" w:hAnsi="宋体"/>
          <w:b/>
          <w:sz w:val="32"/>
          <w:highlight w:val="none"/>
        </w:rPr>
        <w:t xml:space="preserve">   </w:t>
      </w:r>
    </w:p>
    <w:p>
      <w:pPr>
        <w:spacing w:line="360" w:lineRule="auto"/>
        <w:ind w:left="420" w:leftChars="200"/>
        <w:jc w:val="center"/>
        <w:rPr>
          <w:rFonts w:ascii="宋体" w:hAnsi="宋体"/>
          <w:b/>
          <w:sz w:val="32"/>
          <w:highlight w:val="none"/>
        </w:rPr>
      </w:pPr>
      <w:r>
        <w:rPr>
          <w:rFonts w:hint="eastAsia" w:ascii="宋体" w:hAnsi="宋体"/>
          <w:sz w:val="32"/>
          <w:highlight w:val="none"/>
        </w:rPr>
        <w:t>分项报价表</w:t>
      </w:r>
    </w:p>
    <w:p>
      <w:pPr>
        <w:spacing w:line="360" w:lineRule="auto"/>
        <w:rPr>
          <w:rFonts w:ascii="宋体" w:hAnsi="宋体"/>
          <w:b/>
          <w:sz w:val="32"/>
          <w:highlight w:val="none"/>
        </w:rPr>
      </w:pPr>
    </w:p>
    <w:p>
      <w:pPr>
        <w:spacing w:line="360" w:lineRule="auto"/>
        <w:rPr>
          <w:rFonts w:ascii="宋体" w:hAnsi="宋体"/>
          <w:b/>
          <w:sz w:val="32"/>
          <w:highlight w:val="none"/>
        </w:rPr>
      </w:pPr>
    </w:p>
    <w:p>
      <w:pPr>
        <w:spacing w:line="360" w:lineRule="auto"/>
        <w:rPr>
          <w:rFonts w:ascii="宋体" w:hAnsi="宋体"/>
          <w:b/>
          <w:sz w:val="32"/>
          <w:highlight w:val="none"/>
        </w:rPr>
      </w:pPr>
    </w:p>
    <w:p>
      <w:pPr>
        <w:spacing w:line="360" w:lineRule="auto"/>
        <w:rPr>
          <w:rFonts w:ascii="宋体" w:hAnsi="宋体"/>
          <w:b/>
          <w:sz w:val="32"/>
          <w:highlight w:val="none"/>
        </w:rPr>
      </w:pPr>
    </w:p>
    <w:p>
      <w:pPr>
        <w:spacing w:line="360" w:lineRule="auto"/>
        <w:rPr>
          <w:rFonts w:ascii="宋体" w:hAnsi="宋体"/>
          <w:b/>
          <w:sz w:val="32"/>
          <w:highlight w:val="none"/>
        </w:rPr>
      </w:pPr>
    </w:p>
    <w:p>
      <w:pPr>
        <w:spacing w:line="360" w:lineRule="auto"/>
        <w:rPr>
          <w:rFonts w:ascii="宋体" w:hAnsi="宋体"/>
          <w:b/>
          <w:sz w:val="32"/>
          <w:highlight w:val="none"/>
        </w:rPr>
      </w:pPr>
    </w:p>
    <w:p>
      <w:pPr>
        <w:spacing w:line="360" w:lineRule="auto"/>
        <w:rPr>
          <w:rFonts w:ascii="宋体" w:hAnsi="宋体"/>
          <w:b/>
          <w:sz w:val="32"/>
          <w:highlight w:val="none"/>
        </w:rPr>
      </w:pPr>
    </w:p>
    <w:p>
      <w:pPr>
        <w:spacing w:line="360" w:lineRule="auto"/>
        <w:rPr>
          <w:rFonts w:ascii="宋体" w:hAnsi="宋体"/>
          <w:b/>
          <w:sz w:val="32"/>
          <w:highlight w:val="none"/>
        </w:rPr>
      </w:pPr>
    </w:p>
    <w:p>
      <w:pPr>
        <w:spacing w:line="360" w:lineRule="auto"/>
        <w:rPr>
          <w:rFonts w:ascii="宋体" w:hAnsi="宋体"/>
          <w:b/>
          <w:sz w:val="32"/>
          <w:highlight w:val="none"/>
        </w:rPr>
      </w:pPr>
    </w:p>
    <w:p>
      <w:pPr>
        <w:spacing w:line="360" w:lineRule="auto"/>
        <w:rPr>
          <w:rFonts w:ascii="宋体" w:hAnsi="宋体"/>
          <w:b/>
          <w:sz w:val="32"/>
          <w:highlight w:val="none"/>
        </w:rPr>
      </w:pPr>
    </w:p>
    <w:p>
      <w:pPr>
        <w:spacing w:line="360" w:lineRule="auto"/>
        <w:rPr>
          <w:rFonts w:ascii="宋体" w:hAnsi="宋体"/>
          <w:b/>
          <w:sz w:val="32"/>
          <w:highlight w:val="none"/>
        </w:rPr>
      </w:pPr>
    </w:p>
    <w:p>
      <w:pPr>
        <w:spacing w:line="360" w:lineRule="auto"/>
        <w:rPr>
          <w:rFonts w:ascii="宋体" w:hAnsi="宋体"/>
          <w:b/>
          <w:sz w:val="32"/>
          <w:highlight w:val="none"/>
        </w:rPr>
      </w:pPr>
    </w:p>
    <w:p>
      <w:pPr>
        <w:spacing w:line="360" w:lineRule="auto"/>
        <w:rPr>
          <w:rFonts w:ascii="宋体" w:hAnsi="宋体"/>
          <w:b/>
          <w:sz w:val="32"/>
          <w:highlight w:val="none"/>
        </w:rPr>
      </w:pPr>
    </w:p>
    <w:p>
      <w:pPr>
        <w:spacing w:line="360" w:lineRule="auto"/>
        <w:rPr>
          <w:rFonts w:ascii="宋体" w:hAnsi="宋体"/>
          <w:b/>
          <w:sz w:val="32"/>
          <w:highlight w:val="none"/>
        </w:rPr>
      </w:pPr>
    </w:p>
    <w:p>
      <w:pPr>
        <w:pStyle w:val="19"/>
        <w:tabs>
          <w:tab w:val="left" w:pos="5580"/>
        </w:tabs>
        <w:spacing w:line="276" w:lineRule="auto"/>
        <w:jc w:val="left"/>
        <w:rPr>
          <w:rFonts w:hAnsi="宋体"/>
          <w:sz w:val="24"/>
          <w:szCs w:val="24"/>
          <w:highlight w:val="none"/>
        </w:rPr>
      </w:pPr>
    </w:p>
    <w:p>
      <w:pPr>
        <w:pStyle w:val="19"/>
        <w:tabs>
          <w:tab w:val="left" w:pos="5580"/>
        </w:tabs>
        <w:spacing w:line="276" w:lineRule="auto"/>
        <w:jc w:val="left"/>
        <w:rPr>
          <w:rFonts w:hAnsi="宋体"/>
          <w:sz w:val="24"/>
          <w:szCs w:val="24"/>
          <w:highlight w:val="none"/>
        </w:rPr>
      </w:pPr>
    </w:p>
    <w:p>
      <w:pPr>
        <w:pStyle w:val="19"/>
        <w:tabs>
          <w:tab w:val="left" w:pos="5580"/>
        </w:tabs>
        <w:spacing w:line="276" w:lineRule="auto"/>
        <w:jc w:val="left"/>
        <w:rPr>
          <w:rFonts w:hAnsi="宋体"/>
          <w:sz w:val="24"/>
          <w:szCs w:val="24"/>
          <w:highlight w:val="none"/>
        </w:rPr>
      </w:pPr>
      <w:r>
        <w:rPr>
          <w:rFonts w:hAnsi="宋体"/>
          <w:sz w:val="24"/>
          <w:szCs w:val="24"/>
          <w:highlight w:val="none"/>
        </w:rPr>
        <w:t>供应商</w:t>
      </w:r>
      <w:r>
        <w:rPr>
          <w:rFonts w:hint="eastAsia" w:hAnsi="宋体"/>
          <w:sz w:val="24"/>
          <w:szCs w:val="24"/>
          <w:highlight w:val="none"/>
        </w:rPr>
        <w:t>法定代表人或其</w:t>
      </w:r>
      <w:r>
        <w:rPr>
          <w:rFonts w:hAnsi="宋体"/>
          <w:sz w:val="24"/>
          <w:szCs w:val="24"/>
          <w:highlight w:val="none"/>
        </w:rPr>
        <w:t>授权代表签字</w:t>
      </w:r>
      <w:r>
        <w:rPr>
          <w:rFonts w:hint="eastAsia" w:hAnsi="宋体"/>
          <w:sz w:val="24"/>
          <w:szCs w:val="24"/>
          <w:highlight w:val="none"/>
        </w:rPr>
        <w:t>：</w:t>
      </w:r>
      <w:r>
        <w:rPr>
          <w:rFonts w:hAnsi="宋体"/>
          <w:sz w:val="24"/>
          <w:szCs w:val="24"/>
          <w:highlight w:val="none"/>
        </w:rPr>
        <w:t>___________________</w:t>
      </w:r>
    </w:p>
    <w:p>
      <w:pPr>
        <w:pStyle w:val="19"/>
        <w:tabs>
          <w:tab w:val="left" w:pos="5580"/>
        </w:tabs>
        <w:spacing w:line="276" w:lineRule="auto"/>
        <w:jc w:val="left"/>
        <w:rPr>
          <w:rFonts w:hAnsi="宋体"/>
          <w:sz w:val="24"/>
          <w:szCs w:val="24"/>
          <w:highlight w:val="none"/>
        </w:rPr>
      </w:pPr>
      <w:r>
        <w:rPr>
          <w:rFonts w:hAnsi="宋体"/>
          <w:sz w:val="24"/>
          <w:szCs w:val="24"/>
          <w:highlight w:val="none"/>
        </w:rPr>
        <w:t>供应商</w:t>
      </w:r>
      <w:r>
        <w:rPr>
          <w:rFonts w:hint="eastAsia" w:hAnsi="宋体"/>
          <w:sz w:val="24"/>
          <w:szCs w:val="24"/>
          <w:highlight w:val="none"/>
        </w:rPr>
        <w:t>（</w:t>
      </w:r>
      <w:r>
        <w:rPr>
          <w:rFonts w:hAnsi="宋体"/>
          <w:sz w:val="24"/>
          <w:szCs w:val="24"/>
          <w:highlight w:val="none"/>
        </w:rPr>
        <w:t>盖章</w:t>
      </w:r>
      <w:r>
        <w:rPr>
          <w:rFonts w:hint="eastAsia" w:hAnsi="宋体"/>
          <w:sz w:val="24"/>
          <w:szCs w:val="24"/>
          <w:highlight w:val="none"/>
        </w:rPr>
        <w:t>）：</w:t>
      </w:r>
      <w:r>
        <w:rPr>
          <w:rFonts w:hAnsi="宋体"/>
          <w:sz w:val="24"/>
          <w:szCs w:val="24"/>
          <w:highlight w:val="none"/>
          <w:u w:val="single"/>
        </w:rPr>
        <w:tab/>
      </w:r>
      <w:r>
        <w:rPr>
          <w:rFonts w:hAnsi="宋体"/>
          <w:sz w:val="24"/>
          <w:szCs w:val="24"/>
          <w:highlight w:val="none"/>
          <w:u w:val="single"/>
        </w:rPr>
        <w:t xml:space="preserve">        </w:t>
      </w:r>
      <w:r>
        <w:rPr>
          <w:rFonts w:hAnsi="宋体"/>
          <w:sz w:val="24"/>
          <w:szCs w:val="24"/>
          <w:highlight w:val="none"/>
          <w:u w:val="single"/>
        </w:rPr>
        <w:tab/>
      </w:r>
    </w:p>
    <w:p>
      <w:pPr>
        <w:pStyle w:val="19"/>
        <w:tabs>
          <w:tab w:val="left" w:pos="5580"/>
        </w:tabs>
        <w:spacing w:line="276" w:lineRule="auto"/>
        <w:jc w:val="left"/>
        <w:rPr>
          <w:rFonts w:hAnsi="宋体"/>
          <w:sz w:val="24"/>
          <w:szCs w:val="24"/>
          <w:highlight w:val="none"/>
        </w:rPr>
      </w:pPr>
      <w:r>
        <w:rPr>
          <w:rFonts w:hAnsi="宋体"/>
          <w:sz w:val="24"/>
          <w:szCs w:val="24"/>
          <w:highlight w:val="none"/>
        </w:rPr>
        <w:t>注</w:t>
      </w:r>
      <w:r>
        <w:rPr>
          <w:rFonts w:hint="eastAsia" w:hAnsi="宋体"/>
          <w:sz w:val="24"/>
          <w:szCs w:val="24"/>
          <w:highlight w:val="none"/>
        </w:rPr>
        <w:t>：</w:t>
      </w:r>
      <w:r>
        <w:rPr>
          <w:rFonts w:hAnsi="宋体"/>
          <w:sz w:val="24"/>
          <w:szCs w:val="24"/>
          <w:highlight w:val="none"/>
        </w:rPr>
        <w:t>1</w:t>
      </w:r>
      <w:r>
        <w:rPr>
          <w:rFonts w:hint="eastAsia" w:hAnsi="宋体"/>
          <w:sz w:val="24"/>
          <w:szCs w:val="24"/>
          <w:highlight w:val="none"/>
        </w:rPr>
        <w:t>.</w:t>
      </w:r>
      <w:r>
        <w:rPr>
          <w:rFonts w:hAnsi="宋体"/>
          <w:sz w:val="24"/>
          <w:szCs w:val="24"/>
          <w:highlight w:val="none"/>
        </w:rPr>
        <w:t>如果按单价计算的结果与总价不一致,以单价为准修正总价。</w:t>
      </w:r>
    </w:p>
    <w:p>
      <w:pPr>
        <w:pStyle w:val="19"/>
        <w:tabs>
          <w:tab w:val="left" w:pos="5580"/>
        </w:tabs>
        <w:spacing w:line="276" w:lineRule="auto"/>
        <w:jc w:val="left"/>
        <w:rPr>
          <w:rFonts w:hAnsi="宋体"/>
          <w:sz w:val="24"/>
          <w:szCs w:val="24"/>
          <w:highlight w:val="none"/>
        </w:rPr>
      </w:pPr>
      <w:r>
        <w:rPr>
          <w:rFonts w:hint="eastAsia" w:hAnsi="宋体"/>
          <w:sz w:val="24"/>
          <w:szCs w:val="24"/>
          <w:highlight w:val="none"/>
        </w:rPr>
        <w:t xml:space="preserve">    2.如果</w:t>
      </w:r>
      <w:r>
        <w:rPr>
          <w:rFonts w:hAnsi="宋体"/>
          <w:sz w:val="24"/>
          <w:szCs w:val="24"/>
          <w:highlight w:val="none"/>
        </w:rPr>
        <w:t>单价金额小数点有明显错位的，应以总价为准，并修改单价</w:t>
      </w:r>
      <w:r>
        <w:rPr>
          <w:rFonts w:hint="eastAsia" w:hAnsi="宋体"/>
          <w:sz w:val="24"/>
          <w:szCs w:val="24"/>
          <w:highlight w:val="none"/>
        </w:rPr>
        <w:t>。</w:t>
      </w:r>
    </w:p>
    <w:p>
      <w:pPr>
        <w:pStyle w:val="19"/>
        <w:tabs>
          <w:tab w:val="left" w:pos="5580"/>
        </w:tabs>
        <w:spacing w:line="276" w:lineRule="auto"/>
        <w:ind w:firstLine="480" w:firstLineChars="200"/>
        <w:jc w:val="left"/>
        <w:rPr>
          <w:rFonts w:hAnsi="宋体"/>
          <w:sz w:val="24"/>
          <w:szCs w:val="24"/>
          <w:highlight w:val="none"/>
        </w:rPr>
      </w:pPr>
      <w:r>
        <w:rPr>
          <w:rFonts w:hint="eastAsia" w:hAnsi="宋体"/>
          <w:sz w:val="24"/>
          <w:szCs w:val="24"/>
          <w:highlight w:val="none"/>
        </w:rPr>
        <w:t>3.</w:t>
      </w:r>
      <w:r>
        <w:rPr>
          <w:rFonts w:hAnsi="宋体"/>
          <w:sz w:val="24"/>
          <w:szCs w:val="24"/>
          <w:highlight w:val="none"/>
        </w:rPr>
        <w:t>上述各项的详细分项报价，应另页描述。</w:t>
      </w:r>
    </w:p>
    <w:p>
      <w:pPr>
        <w:pStyle w:val="39"/>
        <w:ind w:firstLine="228" w:firstLineChars="95"/>
        <w:rPr>
          <w:rFonts w:ascii="宋体" w:hAnsi="宋体"/>
          <w:highlight w:val="none"/>
        </w:rPr>
      </w:pPr>
    </w:p>
    <w:p>
      <w:pPr>
        <w:pStyle w:val="39"/>
        <w:ind w:firstLine="228" w:firstLineChars="95"/>
        <w:rPr>
          <w:rFonts w:ascii="宋体" w:hAnsi="宋体"/>
          <w:highlight w:val="none"/>
        </w:rPr>
      </w:pPr>
    </w:p>
    <w:p>
      <w:pPr>
        <w:pStyle w:val="39"/>
        <w:ind w:firstLine="199" w:firstLineChars="95"/>
        <w:rPr>
          <w:rFonts w:ascii="宋体" w:hAnsi="宋体"/>
          <w:highlight w:val="none"/>
        </w:rPr>
      </w:pPr>
      <w:r>
        <w:rPr>
          <w:rFonts w:hint="eastAsia" w:ascii="宋体" w:hAnsi="宋体"/>
          <w:sz w:val="21"/>
          <w:szCs w:val="21"/>
          <w:highlight w:val="none"/>
        </w:rPr>
        <w:t>附件五</w:t>
      </w:r>
      <w:r>
        <w:rPr>
          <w:rFonts w:hint="eastAsia" w:ascii="宋体" w:hAnsi="宋体"/>
          <w:highlight w:val="none"/>
        </w:rPr>
        <w:t>：</w:t>
      </w:r>
    </w:p>
    <w:p>
      <w:pPr>
        <w:pStyle w:val="39"/>
        <w:ind w:firstLine="305" w:firstLineChars="95"/>
        <w:rPr>
          <w:rFonts w:ascii="宋体" w:hAnsi="宋体"/>
          <w:b/>
          <w:sz w:val="32"/>
          <w:highlight w:val="none"/>
        </w:rPr>
      </w:pPr>
    </w:p>
    <w:p>
      <w:pPr>
        <w:pStyle w:val="39"/>
        <w:ind w:firstLine="640"/>
        <w:jc w:val="center"/>
        <w:rPr>
          <w:rFonts w:ascii="宋体" w:hAnsi="宋体"/>
          <w:sz w:val="32"/>
          <w:highlight w:val="none"/>
        </w:rPr>
      </w:pPr>
      <w:r>
        <w:rPr>
          <w:rFonts w:hint="eastAsia" w:ascii="宋体" w:hAnsi="宋体"/>
          <w:sz w:val="32"/>
          <w:highlight w:val="none"/>
        </w:rPr>
        <w:t>法定代表人授权书</w:t>
      </w:r>
    </w:p>
    <w:p>
      <w:pPr>
        <w:pStyle w:val="39"/>
        <w:ind w:firstLine="643"/>
        <w:jc w:val="center"/>
        <w:rPr>
          <w:rFonts w:ascii="宋体" w:hAnsi="宋体"/>
          <w:b/>
          <w:sz w:val="32"/>
          <w:highlight w:val="none"/>
        </w:rPr>
      </w:pPr>
    </w:p>
    <w:p>
      <w:pPr>
        <w:pStyle w:val="39"/>
        <w:adjustRightInd w:val="0"/>
        <w:snapToGrid w:val="0"/>
        <w:ind w:firstLine="0" w:firstLineChars="0"/>
        <w:rPr>
          <w:rFonts w:ascii="宋体" w:hAnsi="宋体"/>
          <w:szCs w:val="24"/>
          <w:highlight w:val="none"/>
        </w:rPr>
      </w:pPr>
      <w:r>
        <w:rPr>
          <w:rFonts w:hint="eastAsia" w:ascii="宋体" w:hAnsi="宋体"/>
          <w:szCs w:val="24"/>
          <w:highlight w:val="none"/>
        </w:rPr>
        <w:t>__________________________（招标单位名称）：</w:t>
      </w:r>
    </w:p>
    <w:p>
      <w:pPr>
        <w:pStyle w:val="39"/>
        <w:adjustRightInd w:val="0"/>
        <w:snapToGrid w:val="0"/>
        <w:ind w:firstLine="0" w:firstLineChars="0"/>
        <w:rPr>
          <w:rFonts w:ascii="宋体" w:hAnsi="宋体"/>
          <w:b/>
          <w:szCs w:val="24"/>
          <w:highlight w:val="none"/>
        </w:rPr>
      </w:pPr>
    </w:p>
    <w:p>
      <w:pPr>
        <w:adjustRightInd w:val="0"/>
        <w:snapToGrid w:val="0"/>
        <w:spacing w:line="360" w:lineRule="auto"/>
        <w:ind w:firstLine="629" w:firstLineChars="262"/>
        <w:rPr>
          <w:rFonts w:ascii="宋体" w:hAnsi="宋体"/>
          <w:sz w:val="24"/>
          <w:szCs w:val="24"/>
          <w:highlight w:val="none"/>
          <w:u w:val="single"/>
        </w:rPr>
      </w:pPr>
      <w:r>
        <w:rPr>
          <w:rFonts w:hint="eastAsia" w:ascii="宋体" w:hAnsi="宋体"/>
          <w:sz w:val="24"/>
          <w:szCs w:val="24"/>
          <w:highlight w:val="none"/>
          <w:u w:val="single"/>
        </w:rPr>
        <w:t xml:space="preserve">                            </w:t>
      </w:r>
      <w:r>
        <w:rPr>
          <w:rFonts w:hint="eastAsia" w:ascii="宋体" w:hAnsi="宋体"/>
          <w:sz w:val="24"/>
          <w:szCs w:val="24"/>
          <w:highlight w:val="none"/>
        </w:rPr>
        <w:t>（投标单位全称）法人代表</w:t>
      </w:r>
      <w:r>
        <w:rPr>
          <w:rFonts w:hint="eastAsia" w:ascii="宋体" w:hAnsi="宋体"/>
          <w:sz w:val="24"/>
          <w:szCs w:val="24"/>
          <w:highlight w:val="none"/>
          <w:u w:val="single"/>
        </w:rPr>
        <w:t xml:space="preserve">          </w:t>
      </w:r>
      <w:r>
        <w:rPr>
          <w:rFonts w:hint="eastAsia" w:ascii="宋体" w:hAnsi="宋体"/>
          <w:sz w:val="24"/>
          <w:szCs w:val="24"/>
          <w:highlight w:val="none"/>
        </w:rPr>
        <w:t>授权</w:t>
      </w:r>
    </w:p>
    <w:p>
      <w:pPr>
        <w:adjustRightInd w:val="0"/>
        <w:snapToGrid w:val="0"/>
        <w:spacing w:line="360" w:lineRule="auto"/>
        <w:rPr>
          <w:rFonts w:ascii="宋体" w:hAnsi="宋体"/>
          <w:sz w:val="24"/>
          <w:szCs w:val="24"/>
          <w:highlight w:val="none"/>
          <w:u w:val="single"/>
        </w:rPr>
      </w:pPr>
      <w:r>
        <w:rPr>
          <w:rFonts w:hint="eastAsia" w:ascii="宋体" w:hAnsi="宋体"/>
          <w:sz w:val="24"/>
          <w:szCs w:val="24"/>
          <w:highlight w:val="none"/>
          <w:u w:val="single"/>
        </w:rPr>
        <w:t xml:space="preserve">                              </w:t>
      </w:r>
      <w:r>
        <w:rPr>
          <w:rFonts w:hint="eastAsia" w:ascii="宋体" w:hAnsi="宋体"/>
          <w:sz w:val="24"/>
          <w:szCs w:val="24"/>
          <w:highlight w:val="none"/>
        </w:rPr>
        <w:t>（全权代表姓名）为全权代表，参加贵处组织的</w:t>
      </w:r>
      <w:r>
        <w:rPr>
          <w:rFonts w:hint="eastAsia" w:ascii="宋体" w:hAnsi="宋体"/>
          <w:sz w:val="24"/>
          <w:szCs w:val="24"/>
          <w:highlight w:val="none"/>
          <w:u w:val="single"/>
        </w:rPr>
        <w:t xml:space="preserve">         </w:t>
      </w:r>
    </w:p>
    <w:p>
      <w:pPr>
        <w:adjustRightInd w:val="0"/>
        <w:snapToGrid w:val="0"/>
        <w:spacing w:line="360" w:lineRule="auto"/>
        <w:rPr>
          <w:rFonts w:ascii="宋体" w:hAnsi="宋体"/>
          <w:sz w:val="24"/>
          <w:szCs w:val="24"/>
          <w:highlight w:val="none"/>
        </w:rPr>
      </w:pPr>
      <w:r>
        <w:rPr>
          <w:rFonts w:hint="eastAsia" w:ascii="宋体" w:hAnsi="宋体"/>
          <w:sz w:val="24"/>
          <w:szCs w:val="24"/>
          <w:highlight w:val="none"/>
          <w:u w:val="single"/>
        </w:rPr>
        <w:t xml:space="preserve">                                         </w:t>
      </w:r>
      <w:r>
        <w:rPr>
          <w:rFonts w:hint="eastAsia" w:ascii="宋体" w:hAnsi="宋体"/>
          <w:sz w:val="24"/>
          <w:szCs w:val="24"/>
          <w:highlight w:val="none"/>
        </w:rPr>
        <w:t>项目招标活动，全权处理招标活动中的一切事宜。</w:t>
      </w:r>
    </w:p>
    <w:p>
      <w:pPr>
        <w:pStyle w:val="39"/>
        <w:adjustRightInd w:val="0"/>
        <w:snapToGrid w:val="0"/>
        <w:ind w:firstLine="480"/>
        <w:rPr>
          <w:rFonts w:ascii="宋体" w:hAnsi="宋体"/>
          <w:szCs w:val="20"/>
          <w:highlight w:val="none"/>
        </w:rPr>
      </w:pPr>
      <w:r>
        <w:rPr>
          <w:rFonts w:hint="eastAsia" w:ascii="宋体" w:hAnsi="宋体"/>
          <w:szCs w:val="20"/>
          <w:highlight w:val="none"/>
        </w:rPr>
        <w:t>　　</w:t>
      </w:r>
    </w:p>
    <w:p>
      <w:pPr>
        <w:pStyle w:val="39"/>
        <w:adjustRightInd w:val="0"/>
        <w:snapToGrid w:val="0"/>
        <w:ind w:firstLine="480"/>
        <w:rPr>
          <w:rFonts w:ascii="宋体" w:hAnsi="宋体"/>
          <w:highlight w:val="none"/>
        </w:rPr>
      </w:pPr>
      <w:r>
        <w:rPr>
          <w:rFonts w:hint="eastAsia" w:ascii="宋体" w:hAnsi="宋体"/>
          <w:highlight w:val="none"/>
        </w:rPr>
        <w:t>本授权书于</w:t>
      </w:r>
      <w:r>
        <w:rPr>
          <w:rFonts w:ascii="宋体" w:hAnsi="宋体"/>
          <w:highlight w:val="none"/>
        </w:rPr>
        <w:t>_____</w:t>
      </w:r>
      <w:r>
        <w:rPr>
          <w:rFonts w:hint="eastAsia" w:ascii="宋体" w:hAnsi="宋体"/>
          <w:highlight w:val="none"/>
        </w:rPr>
        <w:t>年</w:t>
      </w:r>
      <w:r>
        <w:rPr>
          <w:rFonts w:ascii="宋体" w:hAnsi="宋体"/>
          <w:highlight w:val="none"/>
        </w:rPr>
        <w:t>_____</w:t>
      </w:r>
      <w:r>
        <w:rPr>
          <w:rFonts w:hint="eastAsia" w:ascii="宋体" w:hAnsi="宋体"/>
          <w:highlight w:val="none"/>
        </w:rPr>
        <w:t>月</w:t>
      </w:r>
      <w:r>
        <w:rPr>
          <w:rFonts w:ascii="宋体" w:hAnsi="宋体"/>
          <w:highlight w:val="none"/>
        </w:rPr>
        <w:t>_____</w:t>
      </w:r>
      <w:r>
        <w:rPr>
          <w:rFonts w:hint="eastAsia" w:ascii="宋体" w:hAnsi="宋体"/>
          <w:highlight w:val="none"/>
        </w:rPr>
        <w:t>日签字生效，特此声明。</w:t>
      </w:r>
    </w:p>
    <w:p>
      <w:pPr>
        <w:pStyle w:val="39"/>
        <w:adjustRightInd w:val="0"/>
        <w:snapToGrid w:val="0"/>
        <w:ind w:firstLine="480"/>
        <w:rPr>
          <w:rFonts w:ascii="宋体" w:hAnsi="宋体"/>
          <w:szCs w:val="20"/>
          <w:highlight w:val="none"/>
        </w:rPr>
      </w:pPr>
    </w:p>
    <w:p>
      <w:pPr>
        <w:pStyle w:val="39"/>
        <w:adjustRightInd w:val="0"/>
        <w:snapToGrid w:val="0"/>
        <w:ind w:firstLine="480"/>
        <w:rPr>
          <w:rFonts w:ascii="宋体" w:hAnsi="宋体"/>
          <w:szCs w:val="20"/>
          <w:highlight w:val="none"/>
        </w:rPr>
      </w:pPr>
      <w:r>
        <w:rPr>
          <w:rFonts w:hint="eastAsia" w:ascii="宋体" w:hAnsi="宋体"/>
          <w:highlight w:val="none"/>
        </w:rPr>
        <w:t>投标人全称（公章）：___________________________________</w:t>
      </w:r>
    </w:p>
    <w:p>
      <w:pPr>
        <w:pStyle w:val="39"/>
        <w:adjustRightInd w:val="0"/>
        <w:snapToGrid w:val="0"/>
        <w:ind w:firstLine="480"/>
        <w:rPr>
          <w:rFonts w:ascii="宋体" w:hAnsi="宋体"/>
          <w:highlight w:val="none"/>
        </w:rPr>
      </w:pPr>
      <w:r>
        <w:rPr>
          <w:rFonts w:hint="eastAsia" w:ascii="宋体" w:hAnsi="宋体"/>
          <w:highlight w:val="none"/>
        </w:rPr>
        <w:t>法定代表人签字或盖章</w:t>
      </w:r>
      <w:r>
        <w:rPr>
          <w:rFonts w:ascii="宋体" w:hAnsi="宋体"/>
          <w:highlight w:val="none"/>
        </w:rPr>
        <w:t>________________</w:t>
      </w:r>
      <w:r>
        <w:rPr>
          <w:rFonts w:hint="eastAsia" w:ascii="宋体" w:hAnsi="宋体"/>
          <w:highlight w:val="none"/>
        </w:rPr>
        <w:t>__________________</w:t>
      </w:r>
    </w:p>
    <w:p>
      <w:pPr>
        <w:pStyle w:val="39"/>
        <w:adjustRightInd w:val="0"/>
        <w:snapToGrid w:val="0"/>
        <w:ind w:firstLine="480"/>
        <w:rPr>
          <w:rFonts w:ascii="宋体" w:hAnsi="宋体"/>
          <w:highlight w:val="none"/>
        </w:rPr>
      </w:pPr>
      <w:r>
        <w:rPr>
          <w:rFonts w:hint="eastAsia" w:ascii="宋体" w:hAnsi="宋体"/>
          <w:highlight w:val="none"/>
        </w:rPr>
        <w:t>授权代理人签字或盖章</w:t>
      </w:r>
      <w:r>
        <w:rPr>
          <w:rFonts w:ascii="宋体" w:hAnsi="宋体"/>
          <w:highlight w:val="none"/>
        </w:rPr>
        <w:t>_______________</w:t>
      </w:r>
      <w:r>
        <w:rPr>
          <w:rFonts w:hint="eastAsia" w:ascii="宋体" w:hAnsi="宋体"/>
          <w:highlight w:val="none"/>
        </w:rPr>
        <w:t>__________________</w:t>
      </w:r>
      <w:r>
        <w:rPr>
          <w:rFonts w:ascii="宋体" w:hAnsi="宋体"/>
          <w:highlight w:val="none"/>
        </w:rPr>
        <w:t>_</w:t>
      </w:r>
    </w:p>
    <w:p>
      <w:pPr>
        <w:pStyle w:val="39"/>
        <w:ind w:firstLine="480"/>
        <w:rPr>
          <w:rFonts w:ascii="宋体" w:hAnsi="宋体"/>
          <w:highlight w:val="none"/>
        </w:rPr>
      </w:pPr>
      <w:r>
        <w:rPr>
          <w:rFonts w:ascii="宋体" w:hAnsi="宋体"/>
          <w:highlight w:val="none"/>
        </w:rPr>
        <w:t xml:space="preserve"> </w:t>
      </w:r>
    </w:p>
    <w:p>
      <w:pPr>
        <w:pStyle w:val="39"/>
        <w:ind w:firstLine="480"/>
        <w:rPr>
          <w:rFonts w:ascii="宋体" w:hAnsi="宋体"/>
          <w:highlight w:val="none"/>
        </w:rPr>
      </w:pPr>
    </w:p>
    <w:sectPr>
      <w:pgSz w:w="12242" w:h="15842"/>
      <w:pgMar w:top="1418" w:right="851" w:bottom="1418" w:left="851" w:header="737" w:footer="431" w:gutter="357"/>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 Antiqua">
    <w:panose1 w:val="02040602050305030304"/>
    <w:charset w:val="00"/>
    <w:family w:val="roman"/>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微软雅黑 Light">
    <w:altName w:val="黑体"/>
    <w:panose1 w:val="020B0502040204020203"/>
    <w:charset w:val="86"/>
    <w:family w:val="swiss"/>
    <w:pitch w:val="default"/>
    <w:sig w:usb0="00000000" w:usb1="00000000" w:usb2="00000016" w:usb3="00000000" w:csb0="0004001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PAGE   \* MERGEFORMAT</w:instrText>
    </w:r>
    <w:r>
      <w:fldChar w:fldCharType="separate"/>
    </w:r>
    <w:r>
      <w:rPr>
        <w:lang w:val="zh-CN"/>
      </w:rPr>
      <w:t>-</w:t>
    </w:r>
    <w:r>
      <w:t xml:space="preserve"> 19 -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left"/>
      <w:rPr>
        <w:sz w:val="21"/>
        <w:szCs w:val="21"/>
      </w:rPr>
    </w:pPr>
    <w:r>
      <w:rPr>
        <w:rFonts w:hint="eastAsia"/>
      </w:rPr>
      <w:t xml:space="preserve">     </w:t>
    </w: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
    <w:nsid w:val="00000007"/>
    <w:multiLevelType w:val="multilevel"/>
    <w:tmpl w:val="00000007"/>
    <w:lvl w:ilvl="0" w:tentative="1">
      <w:start w:val="1"/>
      <w:numFmt w:val="decimal"/>
      <w:pStyle w:val="38"/>
      <w:isLgl/>
      <w:suff w:val="space"/>
      <w:lvlText w:val="%1"/>
      <w:lvlJc w:val="left"/>
      <w:pPr>
        <w:ind w:left="0" w:firstLine="0"/>
      </w:pPr>
      <w:rPr>
        <w:rFonts w:hint="eastAsia"/>
      </w:rPr>
    </w:lvl>
    <w:lvl w:ilvl="1" w:tentative="1">
      <w:start w:val="1"/>
      <w:numFmt w:val="decimal"/>
      <w:pStyle w:val="57"/>
      <w:isLgl/>
      <w:suff w:val="space"/>
      <w:lvlText w:val="%1.%2"/>
      <w:lvlJc w:val="left"/>
      <w:pPr>
        <w:ind w:left="0" w:firstLine="0"/>
      </w:pPr>
      <w:rPr>
        <w:rFonts w:hint="eastAsia"/>
      </w:rPr>
    </w:lvl>
    <w:lvl w:ilvl="2" w:tentative="1">
      <w:start w:val="1"/>
      <w:numFmt w:val="decimal"/>
      <w:pStyle w:val="52"/>
      <w:isLgl/>
      <w:suff w:val="space"/>
      <w:lvlText w:val="%1.%2.%3"/>
      <w:lvlJc w:val="left"/>
      <w:pPr>
        <w:ind w:left="0" w:firstLine="0"/>
      </w:pPr>
      <w:rPr>
        <w:rFonts w:hint="eastAsia"/>
      </w:rPr>
    </w:lvl>
    <w:lvl w:ilvl="3" w:tentative="1">
      <w:start w:val="1"/>
      <w:numFmt w:val="decimal"/>
      <w:pStyle w:val="45"/>
      <w:isLgl/>
      <w:suff w:val="space"/>
      <w:lvlText w:val="%1.%2.%3.%4"/>
      <w:lvlJc w:val="left"/>
      <w:pPr>
        <w:ind w:left="0" w:firstLine="0"/>
      </w:pPr>
      <w:rPr>
        <w:rFonts w:hint="eastAsia"/>
      </w:rPr>
    </w:lvl>
    <w:lvl w:ilvl="4" w:tentative="1">
      <w:start w:val="1"/>
      <w:numFmt w:val="decimal"/>
      <w:pStyle w:val="53"/>
      <w:isLgl/>
      <w:suff w:val="space"/>
      <w:lvlText w:val="%1.%2.%3.%4.%5"/>
      <w:lvlJc w:val="left"/>
      <w:pPr>
        <w:ind w:left="0" w:firstLine="0"/>
      </w:pPr>
      <w:rPr>
        <w:rFonts w:hint="eastAsia"/>
      </w:rPr>
    </w:lvl>
    <w:lvl w:ilvl="5" w:tentative="1">
      <w:start w:val="1"/>
      <w:numFmt w:val="decimal"/>
      <w:pStyle w:val="54"/>
      <w:suff w:val="space"/>
      <w:lvlText w:val="%1.%2.%3.%4.%5.%6"/>
      <w:lvlJc w:val="left"/>
      <w:pPr>
        <w:ind w:left="0" w:firstLine="0"/>
      </w:pPr>
      <w:rPr>
        <w:rFonts w:hint="eastAsia"/>
      </w:rPr>
    </w:lvl>
    <w:lvl w:ilvl="6" w:tentative="1">
      <w:start w:val="1"/>
      <w:numFmt w:val="decimal"/>
      <w:pStyle w:val="46"/>
      <w:isLgl/>
      <w:suff w:val="space"/>
      <w:lvlText w:val="%1.%2.%3.%4.%5.%6.%7"/>
      <w:lvlJc w:val="left"/>
      <w:pPr>
        <w:ind w:left="0" w:firstLine="0"/>
      </w:pPr>
      <w:rPr>
        <w:rFonts w:hint="eastAsia"/>
      </w:rPr>
    </w:lvl>
    <w:lvl w:ilvl="7" w:tentative="1">
      <w:start w:val="1"/>
      <w:numFmt w:val="decimal"/>
      <w:lvlRestart w:val="1"/>
      <w:pStyle w:val="42"/>
      <w:isLgl/>
      <w:suff w:val="space"/>
      <w:lvlText w:val="图%1-%8"/>
      <w:lvlJc w:val="center"/>
      <w:pPr>
        <w:ind w:left="0" w:firstLine="0"/>
      </w:pPr>
      <w:rPr>
        <w:rFonts w:hint="eastAsia"/>
      </w:rPr>
    </w:lvl>
    <w:lvl w:ilvl="8" w:tentative="1">
      <w:start w:val="1"/>
      <w:numFmt w:val="decimal"/>
      <w:lvlRestart w:val="1"/>
      <w:pStyle w:val="50"/>
      <w:isLgl/>
      <w:suff w:val="space"/>
      <w:lvlText w:val="表%1-%9"/>
      <w:lvlJc w:val="center"/>
      <w:pPr>
        <w:ind w:left="0" w:firstLine="0"/>
      </w:pPr>
      <w:rPr>
        <w:rFonts w:hint="eastAsia"/>
      </w:rPr>
    </w:lvl>
  </w:abstractNum>
  <w:abstractNum w:abstractNumId="12">
    <w:nsid w:val="0000000C"/>
    <w:multiLevelType w:val="multilevel"/>
    <w:tmpl w:val="0000000C"/>
    <w:lvl w:ilvl="0" w:tentative="1">
      <w:start w:val="1"/>
      <w:numFmt w:val="decimal"/>
      <w:pStyle w:val="40"/>
      <w:lvlText w:val="%1、"/>
      <w:lvlJc w:val="left"/>
      <w:pPr>
        <w:ind w:left="620" w:hanging="420"/>
      </w:pPr>
      <w:rPr>
        <w:rFonts w:hint="eastAsia"/>
      </w:rPr>
    </w:lvl>
    <w:lvl w:ilvl="1" w:tentative="1">
      <w:start w:val="1"/>
      <w:numFmt w:val="lowerLetter"/>
      <w:lvlText w:val="%2)"/>
      <w:lvlJc w:val="left"/>
      <w:pPr>
        <w:ind w:left="1040" w:hanging="420"/>
      </w:pPr>
    </w:lvl>
    <w:lvl w:ilvl="2" w:tentative="1">
      <w:start w:val="1"/>
      <w:numFmt w:val="lowerRoman"/>
      <w:lvlText w:val="%3."/>
      <w:lvlJc w:val="right"/>
      <w:pPr>
        <w:ind w:left="1460" w:hanging="420"/>
      </w:pPr>
    </w:lvl>
    <w:lvl w:ilvl="3" w:tentative="1">
      <w:start w:val="1"/>
      <w:numFmt w:val="decimal"/>
      <w:lvlText w:val="%4."/>
      <w:lvlJc w:val="left"/>
      <w:pPr>
        <w:ind w:left="1880" w:hanging="420"/>
      </w:pPr>
    </w:lvl>
    <w:lvl w:ilvl="4" w:tentative="1">
      <w:start w:val="1"/>
      <w:numFmt w:val="lowerLetter"/>
      <w:lvlText w:val="%5)"/>
      <w:lvlJc w:val="left"/>
      <w:pPr>
        <w:ind w:left="2300" w:hanging="420"/>
      </w:pPr>
    </w:lvl>
    <w:lvl w:ilvl="5" w:tentative="1">
      <w:start w:val="1"/>
      <w:numFmt w:val="lowerRoman"/>
      <w:lvlText w:val="%6."/>
      <w:lvlJc w:val="right"/>
      <w:pPr>
        <w:ind w:left="2720" w:hanging="420"/>
      </w:pPr>
    </w:lvl>
    <w:lvl w:ilvl="6" w:tentative="1">
      <w:start w:val="1"/>
      <w:numFmt w:val="decimal"/>
      <w:lvlText w:val="%7."/>
      <w:lvlJc w:val="left"/>
      <w:pPr>
        <w:ind w:left="3140" w:hanging="420"/>
      </w:pPr>
    </w:lvl>
    <w:lvl w:ilvl="7" w:tentative="1">
      <w:start w:val="1"/>
      <w:numFmt w:val="lowerLetter"/>
      <w:lvlText w:val="%8)"/>
      <w:lvlJc w:val="left"/>
      <w:pPr>
        <w:ind w:left="3560" w:hanging="420"/>
      </w:pPr>
    </w:lvl>
    <w:lvl w:ilvl="8" w:tentative="1">
      <w:start w:val="1"/>
      <w:numFmt w:val="lowerRoman"/>
      <w:lvlText w:val="%9."/>
      <w:lvlJc w:val="right"/>
      <w:pPr>
        <w:ind w:left="3980" w:hanging="420"/>
      </w:pPr>
    </w:lvl>
  </w:abstractNum>
  <w:abstractNum w:abstractNumId="1436098702">
    <w:nsid w:val="5599208E"/>
    <w:multiLevelType w:val="multilevel"/>
    <w:tmpl w:val="5599208E"/>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75226674">
    <w:nsid w:val="1C536232"/>
    <w:multiLevelType w:val="singleLevel"/>
    <w:tmpl w:val="1C536232"/>
    <w:lvl w:ilvl="0" w:tentative="1">
      <w:start w:val="1"/>
      <w:numFmt w:val="decimal"/>
      <w:lvlText w:val="%1)"/>
      <w:lvlJc w:val="left"/>
      <w:pPr>
        <w:ind w:left="425" w:hanging="425"/>
      </w:pPr>
      <w:rPr>
        <w:rFonts w:hint="default"/>
      </w:rPr>
    </w:lvl>
  </w:abstractNum>
  <w:abstractNum w:abstractNumId="477222913">
    <w:nsid w:val="1C71D801"/>
    <w:multiLevelType w:val="singleLevel"/>
    <w:tmpl w:val="1C71D801"/>
    <w:lvl w:ilvl="0" w:tentative="1">
      <w:start w:val="1"/>
      <w:numFmt w:val="decimal"/>
      <w:lvlText w:val="%1)"/>
      <w:lvlJc w:val="left"/>
      <w:pPr>
        <w:ind w:left="425" w:hanging="425"/>
      </w:pPr>
      <w:rPr>
        <w:rFonts w:hint="default"/>
      </w:rPr>
    </w:lvl>
  </w:abstractNum>
  <w:abstractNum w:abstractNumId="1838475339">
    <w:nsid w:val="6D94E84B"/>
    <w:multiLevelType w:val="singleLevel"/>
    <w:tmpl w:val="6D94E84B"/>
    <w:lvl w:ilvl="0" w:tentative="1">
      <w:start w:val="1"/>
      <w:numFmt w:val="lowerLetter"/>
      <w:lvlText w:val="%1."/>
      <w:lvlJc w:val="left"/>
      <w:pPr>
        <w:ind w:left="425" w:hanging="425"/>
      </w:pPr>
      <w:rPr>
        <w:rFonts w:hint="default"/>
      </w:rPr>
    </w:lvl>
  </w:abstractNum>
  <w:abstractNum w:abstractNumId="1168517852">
    <w:nsid w:val="45A62ADC"/>
    <w:multiLevelType w:val="singleLevel"/>
    <w:tmpl w:val="45A62ADC"/>
    <w:lvl w:ilvl="0" w:tentative="1">
      <w:start w:val="1"/>
      <w:numFmt w:val="lowerLetter"/>
      <w:lvlText w:val="%1."/>
      <w:lvlJc w:val="left"/>
      <w:pPr>
        <w:ind w:left="425" w:hanging="425"/>
      </w:pPr>
      <w:rPr>
        <w:rFonts w:hint="default"/>
      </w:rPr>
    </w:lvl>
  </w:abstractNum>
  <w:abstractNum w:abstractNumId="1571527659">
    <w:nsid w:val="5DAB9BEB"/>
    <w:multiLevelType w:val="singleLevel"/>
    <w:tmpl w:val="5DAB9BEB"/>
    <w:lvl w:ilvl="0" w:tentative="1">
      <w:start w:val="1"/>
      <w:numFmt w:val="decimal"/>
      <w:lvlText w:val="%1)"/>
      <w:lvlJc w:val="left"/>
      <w:pPr>
        <w:ind w:left="425" w:hanging="425"/>
      </w:pPr>
      <w:rPr>
        <w:rFonts w:hint="default"/>
      </w:rPr>
    </w:lvl>
  </w:abstractNum>
  <w:abstractNum w:abstractNumId="2007723042">
    <w:nsid w:val="77AB6C22"/>
    <w:multiLevelType w:val="singleLevel"/>
    <w:tmpl w:val="77AB6C22"/>
    <w:lvl w:ilvl="0" w:tentative="1">
      <w:start w:val="1"/>
      <w:numFmt w:val="decimal"/>
      <w:lvlText w:val="%1)"/>
      <w:lvlJc w:val="left"/>
      <w:pPr>
        <w:ind w:left="425" w:hanging="425"/>
      </w:pPr>
      <w:rPr>
        <w:rFonts w:hint="default"/>
      </w:rPr>
    </w:lvl>
  </w:abstractNum>
  <w:abstractNum w:abstractNumId="691541149">
    <w:nsid w:val="2938149D"/>
    <w:multiLevelType w:val="multilevel"/>
    <w:tmpl w:val="2938149D"/>
    <w:lvl w:ilvl="0" w:tentative="1">
      <w:start w:val="1"/>
      <w:numFmt w:val="decimal"/>
      <w:lvlText w:val="%1）"/>
      <w:lvlJc w:val="left"/>
      <w:pPr>
        <w:ind w:left="699" w:hanging="360"/>
      </w:pPr>
      <w:rPr>
        <w:rFonts w:hint="default"/>
      </w:rPr>
    </w:lvl>
    <w:lvl w:ilvl="1" w:tentative="1">
      <w:start w:val="1"/>
      <w:numFmt w:val="lowerLetter"/>
      <w:lvlText w:val="%2)"/>
      <w:lvlJc w:val="left"/>
      <w:pPr>
        <w:ind w:left="1179" w:hanging="420"/>
      </w:pPr>
    </w:lvl>
    <w:lvl w:ilvl="2" w:tentative="1">
      <w:start w:val="1"/>
      <w:numFmt w:val="lowerRoman"/>
      <w:lvlText w:val="%3."/>
      <w:lvlJc w:val="right"/>
      <w:pPr>
        <w:ind w:left="1599" w:hanging="420"/>
      </w:pPr>
    </w:lvl>
    <w:lvl w:ilvl="3" w:tentative="1">
      <w:start w:val="1"/>
      <w:numFmt w:val="decimal"/>
      <w:lvlText w:val="%4."/>
      <w:lvlJc w:val="left"/>
      <w:pPr>
        <w:ind w:left="2019" w:hanging="420"/>
      </w:pPr>
    </w:lvl>
    <w:lvl w:ilvl="4" w:tentative="1">
      <w:start w:val="1"/>
      <w:numFmt w:val="lowerLetter"/>
      <w:lvlText w:val="%5)"/>
      <w:lvlJc w:val="left"/>
      <w:pPr>
        <w:ind w:left="2439" w:hanging="420"/>
      </w:pPr>
    </w:lvl>
    <w:lvl w:ilvl="5" w:tentative="1">
      <w:start w:val="1"/>
      <w:numFmt w:val="lowerRoman"/>
      <w:lvlText w:val="%6."/>
      <w:lvlJc w:val="right"/>
      <w:pPr>
        <w:ind w:left="2859" w:hanging="420"/>
      </w:pPr>
    </w:lvl>
    <w:lvl w:ilvl="6" w:tentative="1">
      <w:start w:val="1"/>
      <w:numFmt w:val="decimal"/>
      <w:lvlText w:val="%7."/>
      <w:lvlJc w:val="left"/>
      <w:pPr>
        <w:ind w:left="3279" w:hanging="420"/>
      </w:pPr>
    </w:lvl>
    <w:lvl w:ilvl="7" w:tentative="1">
      <w:start w:val="1"/>
      <w:numFmt w:val="lowerLetter"/>
      <w:lvlText w:val="%8)"/>
      <w:lvlJc w:val="left"/>
      <w:pPr>
        <w:ind w:left="3699" w:hanging="420"/>
      </w:pPr>
    </w:lvl>
    <w:lvl w:ilvl="8" w:tentative="1">
      <w:start w:val="1"/>
      <w:numFmt w:val="lowerRoman"/>
      <w:lvlText w:val="%9."/>
      <w:lvlJc w:val="right"/>
      <w:pPr>
        <w:ind w:left="4119" w:hanging="420"/>
      </w:pPr>
    </w:lvl>
  </w:abstractNum>
  <w:abstractNum w:abstractNumId="14">
    <w:nsid w:val="0000000E"/>
    <w:multiLevelType w:val="multilevel"/>
    <w:tmpl w:val="0000000E"/>
    <w:lvl w:ilvl="0" w:tentative="1">
      <w:start w:val="1"/>
      <w:numFmt w:val="bullet"/>
      <w:pStyle w:val="47"/>
      <w:lvlText w:val=""/>
      <w:lvlJc w:val="left"/>
      <w:pPr>
        <w:ind w:left="820" w:hanging="420"/>
      </w:pPr>
      <w:rPr>
        <w:rFonts w:hint="default" w:ascii="Wingdings" w:hAnsi="Wingdings"/>
      </w:rPr>
    </w:lvl>
    <w:lvl w:ilvl="1" w:tentative="1">
      <w:start w:val="1"/>
      <w:numFmt w:val="bullet"/>
      <w:lvlText w:val=""/>
      <w:lvlJc w:val="left"/>
      <w:pPr>
        <w:ind w:left="1240" w:hanging="420"/>
      </w:pPr>
      <w:rPr>
        <w:rFonts w:hint="default" w:ascii="Wingdings" w:hAnsi="Wingdings"/>
      </w:rPr>
    </w:lvl>
    <w:lvl w:ilvl="2" w:tentative="1">
      <w:start w:val="1"/>
      <w:numFmt w:val="bullet"/>
      <w:lvlText w:val=""/>
      <w:lvlJc w:val="left"/>
      <w:pPr>
        <w:ind w:left="1660" w:hanging="420"/>
      </w:pPr>
      <w:rPr>
        <w:rFonts w:hint="default" w:ascii="Wingdings" w:hAnsi="Wingdings"/>
      </w:rPr>
    </w:lvl>
    <w:lvl w:ilvl="3" w:tentative="1">
      <w:start w:val="1"/>
      <w:numFmt w:val="bullet"/>
      <w:lvlText w:val=""/>
      <w:lvlJc w:val="left"/>
      <w:pPr>
        <w:ind w:left="2080" w:hanging="420"/>
      </w:pPr>
      <w:rPr>
        <w:rFonts w:hint="default" w:ascii="Wingdings" w:hAnsi="Wingdings"/>
      </w:rPr>
    </w:lvl>
    <w:lvl w:ilvl="4" w:tentative="1">
      <w:start w:val="1"/>
      <w:numFmt w:val="bullet"/>
      <w:lvlText w:val=""/>
      <w:lvlJc w:val="left"/>
      <w:pPr>
        <w:ind w:left="2500" w:hanging="420"/>
      </w:pPr>
      <w:rPr>
        <w:rFonts w:hint="default" w:ascii="Wingdings" w:hAnsi="Wingdings"/>
      </w:rPr>
    </w:lvl>
    <w:lvl w:ilvl="5" w:tentative="1">
      <w:start w:val="1"/>
      <w:numFmt w:val="bullet"/>
      <w:lvlText w:val=""/>
      <w:lvlJc w:val="left"/>
      <w:pPr>
        <w:ind w:left="2920" w:hanging="420"/>
      </w:pPr>
      <w:rPr>
        <w:rFonts w:hint="default" w:ascii="Wingdings" w:hAnsi="Wingdings"/>
      </w:rPr>
    </w:lvl>
    <w:lvl w:ilvl="6" w:tentative="1">
      <w:start w:val="1"/>
      <w:numFmt w:val="bullet"/>
      <w:lvlText w:val=""/>
      <w:lvlJc w:val="left"/>
      <w:pPr>
        <w:ind w:left="3340" w:hanging="420"/>
      </w:pPr>
      <w:rPr>
        <w:rFonts w:hint="default" w:ascii="Wingdings" w:hAnsi="Wingdings"/>
      </w:rPr>
    </w:lvl>
    <w:lvl w:ilvl="7" w:tentative="1">
      <w:start w:val="1"/>
      <w:numFmt w:val="bullet"/>
      <w:lvlText w:val=""/>
      <w:lvlJc w:val="left"/>
      <w:pPr>
        <w:ind w:left="3760" w:hanging="420"/>
      </w:pPr>
      <w:rPr>
        <w:rFonts w:hint="default" w:ascii="Wingdings" w:hAnsi="Wingdings"/>
      </w:rPr>
    </w:lvl>
    <w:lvl w:ilvl="8" w:tentative="1">
      <w:start w:val="1"/>
      <w:numFmt w:val="bullet"/>
      <w:lvlText w:val=""/>
      <w:lvlJc w:val="left"/>
      <w:pPr>
        <w:ind w:left="4180" w:hanging="420"/>
      </w:pPr>
      <w:rPr>
        <w:rFonts w:hint="default" w:ascii="Wingdings" w:hAnsi="Wingdings"/>
      </w:rPr>
    </w:lvl>
  </w:abstractNum>
  <w:abstractNum w:abstractNumId="8">
    <w:nsid w:val="00000008"/>
    <w:multiLevelType w:val="multilevel"/>
    <w:tmpl w:val="00000008"/>
    <w:lvl w:ilvl="0" w:tentative="1">
      <w:start w:val="1"/>
      <w:numFmt w:val="decimal"/>
      <w:pStyle w:val="55"/>
      <w:lvlText w:val="%1)"/>
      <w:lvlJc w:val="left"/>
      <w:pPr>
        <w:ind w:left="840" w:hanging="420"/>
      </w:pPr>
      <w:rPr>
        <w:rFonts w:hint="eastAsia"/>
      </w:rPr>
    </w:lvl>
    <w:lvl w:ilvl="1" w:tentative="1">
      <w:start w:val="1"/>
      <w:numFmt w:val="decimal"/>
      <w:lvlText w:val="%2)"/>
      <w:lvlJc w:val="left"/>
      <w:pPr>
        <w:tabs>
          <w:tab w:val="left" w:pos="1113"/>
        </w:tabs>
        <w:ind w:left="1113" w:hanging="420"/>
      </w:pPr>
      <w:rPr>
        <w:rFonts w:hint="eastAsia"/>
      </w:rPr>
    </w:lvl>
    <w:lvl w:ilvl="2" w:tentative="1">
      <w:start w:val="1"/>
      <w:numFmt w:val="lowerRoman"/>
      <w:lvlText w:val="%3."/>
      <w:lvlJc w:val="right"/>
      <w:pPr>
        <w:ind w:left="1533" w:hanging="420"/>
      </w:pPr>
      <w:rPr>
        <w:rFonts w:hint="eastAsia"/>
      </w:rPr>
    </w:lvl>
    <w:lvl w:ilvl="3" w:tentative="1">
      <w:start w:val="1"/>
      <w:numFmt w:val="decimal"/>
      <w:lvlText w:val="%4."/>
      <w:lvlJc w:val="left"/>
      <w:pPr>
        <w:ind w:left="1953" w:hanging="420"/>
      </w:pPr>
      <w:rPr>
        <w:rFonts w:hint="eastAsia"/>
      </w:rPr>
    </w:lvl>
    <w:lvl w:ilvl="4" w:tentative="1">
      <w:start w:val="1"/>
      <w:numFmt w:val="lowerLetter"/>
      <w:lvlText w:val="%5)"/>
      <w:lvlJc w:val="left"/>
      <w:pPr>
        <w:ind w:left="2373" w:hanging="420"/>
      </w:pPr>
      <w:rPr>
        <w:rFonts w:hint="eastAsia"/>
      </w:rPr>
    </w:lvl>
    <w:lvl w:ilvl="5" w:tentative="1">
      <w:start w:val="1"/>
      <w:numFmt w:val="lowerRoman"/>
      <w:lvlText w:val="%6."/>
      <w:lvlJc w:val="right"/>
      <w:pPr>
        <w:ind w:left="2793" w:hanging="420"/>
      </w:pPr>
      <w:rPr>
        <w:rFonts w:hint="eastAsia"/>
      </w:rPr>
    </w:lvl>
    <w:lvl w:ilvl="6" w:tentative="1">
      <w:start w:val="1"/>
      <w:numFmt w:val="decimal"/>
      <w:lvlText w:val="%7."/>
      <w:lvlJc w:val="left"/>
      <w:pPr>
        <w:ind w:left="3213" w:hanging="420"/>
      </w:pPr>
      <w:rPr>
        <w:rFonts w:hint="eastAsia"/>
      </w:rPr>
    </w:lvl>
    <w:lvl w:ilvl="7" w:tentative="1">
      <w:start w:val="1"/>
      <w:numFmt w:val="lowerLetter"/>
      <w:lvlText w:val="%8)"/>
      <w:lvlJc w:val="left"/>
      <w:pPr>
        <w:ind w:left="3633" w:hanging="420"/>
      </w:pPr>
      <w:rPr>
        <w:rFonts w:hint="eastAsia"/>
      </w:rPr>
    </w:lvl>
    <w:lvl w:ilvl="8" w:tentative="1">
      <w:start w:val="1"/>
      <w:numFmt w:val="lowerRoman"/>
      <w:lvlText w:val="%9."/>
      <w:lvlJc w:val="right"/>
      <w:pPr>
        <w:ind w:left="4053" w:hanging="420"/>
      </w:pPr>
      <w:rPr>
        <w:rFonts w:hint="eastAsia"/>
      </w:rPr>
    </w:lvl>
  </w:abstractNum>
  <w:abstractNum w:abstractNumId="2116958149">
    <w:nsid w:val="7E2E37C5"/>
    <w:multiLevelType w:val="singleLevel"/>
    <w:tmpl w:val="7E2E37C5"/>
    <w:lvl w:ilvl="0" w:tentative="1">
      <w:start w:val="4"/>
      <w:numFmt w:val="decimal"/>
      <w:lvlText w:val="%1."/>
      <w:lvlJc w:val="left"/>
      <w:pPr>
        <w:tabs>
          <w:tab w:val="left" w:pos="312"/>
        </w:tabs>
      </w:pPr>
    </w:lvl>
  </w:abstractNum>
  <w:num w:numId="1">
    <w:abstractNumId w:val="7"/>
  </w:num>
  <w:num w:numId="2">
    <w:abstractNumId w:val="12"/>
  </w:num>
  <w:num w:numId="3">
    <w:abstractNumId w:val="14"/>
  </w:num>
  <w:num w:numId="4">
    <w:abstractNumId w:val="8"/>
  </w:num>
  <w:num w:numId="5">
    <w:abstractNumId w:val="2116958149"/>
  </w:num>
  <w:num w:numId="6">
    <w:abstractNumId w:val="1436098702"/>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477222913"/>
  </w:num>
  <w:num w:numId="16">
    <w:abstractNumId w:val="475226674"/>
  </w:num>
  <w:num w:numId="17">
    <w:abstractNumId w:val="1838475339"/>
  </w:num>
  <w:num w:numId="18">
    <w:abstractNumId w:val="1168517852"/>
  </w:num>
  <w:num w:numId="19">
    <w:abstractNumId w:val="1571527659"/>
  </w:num>
  <w:num w:numId="20">
    <w:abstractNumId w:val="2007723042"/>
  </w:num>
  <w:num w:numId="21">
    <w:abstractNumId w:val="691541149"/>
  </w:num>
  <w:num w:numId="2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B7E"/>
    <w:rsid w:val="00025067"/>
    <w:rsid w:val="00044458"/>
    <w:rsid w:val="00044FA9"/>
    <w:rsid w:val="0004600A"/>
    <w:rsid w:val="0005333B"/>
    <w:rsid w:val="0005524A"/>
    <w:rsid w:val="00060D75"/>
    <w:rsid w:val="00082B5A"/>
    <w:rsid w:val="000A60E4"/>
    <w:rsid w:val="000A72D7"/>
    <w:rsid w:val="000D1EFE"/>
    <w:rsid w:val="000E0E25"/>
    <w:rsid w:val="000F58BB"/>
    <w:rsid w:val="000F5D99"/>
    <w:rsid w:val="00110172"/>
    <w:rsid w:val="00130EC4"/>
    <w:rsid w:val="00132D17"/>
    <w:rsid w:val="00142121"/>
    <w:rsid w:val="00155827"/>
    <w:rsid w:val="0016019D"/>
    <w:rsid w:val="00165D72"/>
    <w:rsid w:val="00172A27"/>
    <w:rsid w:val="00175BA0"/>
    <w:rsid w:val="001824E4"/>
    <w:rsid w:val="00193CDD"/>
    <w:rsid w:val="001954EE"/>
    <w:rsid w:val="001A7394"/>
    <w:rsid w:val="001D67B8"/>
    <w:rsid w:val="001E3A6D"/>
    <w:rsid w:val="0023072A"/>
    <w:rsid w:val="00232F71"/>
    <w:rsid w:val="00244DB8"/>
    <w:rsid w:val="00246DE6"/>
    <w:rsid w:val="002700CF"/>
    <w:rsid w:val="00277A46"/>
    <w:rsid w:val="002950D4"/>
    <w:rsid w:val="002A5EE4"/>
    <w:rsid w:val="002C5F11"/>
    <w:rsid w:val="002D25E7"/>
    <w:rsid w:val="002D5017"/>
    <w:rsid w:val="002D5132"/>
    <w:rsid w:val="002E56A1"/>
    <w:rsid w:val="0030016D"/>
    <w:rsid w:val="0031086A"/>
    <w:rsid w:val="00310C02"/>
    <w:rsid w:val="00327176"/>
    <w:rsid w:val="00330D03"/>
    <w:rsid w:val="00340E21"/>
    <w:rsid w:val="00341A13"/>
    <w:rsid w:val="00366F16"/>
    <w:rsid w:val="00374B75"/>
    <w:rsid w:val="00375776"/>
    <w:rsid w:val="003800EC"/>
    <w:rsid w:val="00384B01"/>
    <w:rsid w:val="0039039D"/>
    <w:rsid w:val="003A509F"/>
    <w:rsid w:val="003E231E"/>
    <w:rsid w:val="003E483A"/>
    <w:rsid w:val="003F1B06"/>
    <w:rsid w:val="003F337E"/>
    <w:rsid w:val="004042FC"/>
    <w:rsid w:val="00404EEE"/>
    <w:rsid w:val="00407833"/>
    <w:rsid w:val="00411092"/>
    <w:rsid w:val="0041727F"/>
    <w:rsid w:val="00445F55"/>
    <w:rsid w:val="0047768E"/>
    <w:rsid w:val="004900EB"/>
    <w:rsid w:val="0049399E"/>
    <w:rsid w:val="00496787"/>
    <w:rsid w:val="004C4FE0"/>
    <w:rsid w:val="004D1A67"/>
    <w:rsid w:val="00500AFB"/>
    <w:rsid w:val="00503E4C"/>
    <w:rsid w:val="00506AC0"/>
    <w:rsid w:val="00521F5E"/>
    <w:rsid w:val="00524682"/>
    <w:rsid w:val="00525485"/>
    <w:rsid w:val="005255FA"/>
    <w:rsid w:val="00526078"/>
    <w:rsid w:val="00532832"/>
    <w:rsid w:val="00561485"/>
    <w:rsid w:val="0056331F"/>
    <w:rsid w:val="005851DC"/>
    <w:rsid w:val="00586336"/>
    <w:rsid w:val="00590667"/>
    <w:rsid w:val="005A12EC"/>
    <w:rsid w:val="005B668C"/>
    <w:rsid w:val="005D2A04"/>
    <w:rsid w:val="00601DE0"/>
    <w:rsid w:val="0062482B"/>
    <w:rsid w:val="006455E5"/>
    <w:rsid w:val="0064728B"/>
    <w:rsid w:val="0065001A"/>
    <w:rsid w:val="00653356"/>
    <w:rsid w:val="00654D2F"/>
    <w:rsid w:val="006740F8"/>
    <w:rsid w:val="006810AD"/>
    <w:rsid w:val="006A0169"/>
    <w:rsid w:val="006C6D87"/>
    <w:rsid w:val="006D667D"/>
    <w:rsid w:val="006E1A6E"/>
    <w:rsid w:val="00723960"/>
    <w:rsid w:val="00731B12"/>
    <w:rsid w:val="0074678C"/>
    <w:rsid w:val="00747F40"/>
    <w:rsid w:val="00780144"/>
    <w:rsid w:val="0078309A"/>
    <w:rsid w:val="007A12C9"/>
    <w:rsid w:val="007A35CD"/>
    <w:rsid w:val="007B7005"/>
    <w:rsid w:val="007C4202"/>
    <w:rsid w:val="007E092D"/>
    <w:rsid w:val="007E3406"/>
    <w:rsid w:val="007E45E5"/>
    <w:rsid w:val="007F586A"/>
    <w:rsid w:val="008014AD"/>
    <w:rsid w:val="00803403"/>
    <w:rsid w:val="00827600"/>
    <w:rsid w:val="00832CE7"/>
    <w:rsid w:val="008335B5"/>
    <w:rsid w:val="0083692B"/>
    <w:rsid w:val="0085198F"/>
    <w:rsid w:val="00854859"/>
    <w:rsid w:val="00862D5B"/>
    <w:rsid w:val="008746CE"/>
    <w:rsid w:val="0088155D"/>
    <w:rsid w:val="008862E4"/>
    <w:rsid w:val="00895244"/>
    <w:rsid w:val="008B6826"/>
    <w:rsid w:val="008B7D6E"/>
    <w:rsid w:val="008D0D57"/>
    <w:rsid w:val="008D17B9"/>
    <w:rsid w:val="008D794B"/>
    <w:rsid w:val="008E0F8A"/>
    <w:rsid w:val="008F70E5"/>
    <w:rsid w:val="00922079"/>
    <w:rsid w:val="009252B9"/>
    <w:rsid w:val="009526A9"/>
    <w:rsid w:val="00953309"/>
    <w:rsid w:val="009627E3"/>
    <w:rsid w:val="00967AB1"/>
    <w:rsid w:val="009824F7"/>
    <w:rsid w:val="009839B6"/>
    <w:rsid w:val="00990E64"/>
    <w:rsid w:val="00991519"/>
    <w:rsid w:val="009A280E"/>
    <w:rsid w:val="009B11CF"/>
    <w:rsid w:val="009E4222"/>
    <w:rsid w:val="009E5FD8"/>
    <w:rsid w:val="00A03103"/>
    <w:rsid w:val="00A1391C"/>
    <w:rsid w:val="00A423BB"/>
    <w:rsid w:val="00A449C2"/>
    <w:rsid w:val="00A661FF"/>
    <w:rsid w:val="00A72E05"/>
    <w:rsid w:val="00A84363"/>
    <w:rsid w:val="00A92631"/>
    <w:rsid w:val="00A92893"/>
    <w:rsid w:val="00AA06FD"/>
    <w:rsid w:val="00AA3169"/>
    <w:rsid w:val="00AE70ED"/>
    <w:rsid w:val="00AF581D"/>
    <w:rsid w:val="00B06D71"/>
    <w:rsid w:val="00B26812"/>
    <w:rsid w:val="00B355E3"/>
    <w:rsid w:val="00B35778"/>
    <w:rsid w:val="00B370B3"/>
    <w:rsid w:val="00B43580"/>
    <w:rsid w:val="00B50427"/>
    <w:rsid w:val="00B5567C"/>
    <w:rsid w:val="00B57D81"/>
    <w:rsid w:val="00B7211C"/>
    <w:rsid w:val="00B73518"/>
    <w:rsid w:val="00B9103C"/>
    <w:rsid w:val="00BB54DE"/>
    <w:rsid w:val="00BD0483"/>
    <w:rsid w:val="00BE2978"/>
    <w:rsid w:val="00BF1ABC"/>
    <w:rsid w:val="00BF6C0F"/>
    <w:rsid w:val="00C53960"/>
    <w:rsid w:val="00C7035B"/>
    <w:rsid w:val="00C716A3"/>
    <w:rsid w:val="00C94090"/>
    <w:rsid w:val="00CB4F9A"/>
    <w:rsid w:val="00CB6834"/>
    <w:rsid w:val="00CB6BE3"/>
    <w:rsid w:val="00CB7CA6"/>
    <w:rsid w:val="00CC1AB3"/>
    <w:rsid w:val="00CC2E1D"/>
    <w:rsid w:val="00CC4714"/>
    <w:rsid w:val="00CF495D"/>
    <w:rsid w:val="00CF6206"/>
    <w:rsid w:val="00CF6749"/>
    <w:rsid w:val="00D155A2"/>
    <w:rsid w:val="00D27D44"/>
    <w:rsid w:val="00D4519B"/>
    <w:rsid w:val="00D45248"/>
    <w:rsid w:val="00D47620"/>
    <w:rsid w:val="00D56A1B"/>
    <w:rsid w:val="00D70052"/>
    <w:rsid w:val="00D73C2C"/>
    <w:rsid w:val="00D801E4"/>
    <w:rsid w:val="00D87C1D"/>
    <w:rsid w:val="00D9224C"/>
    <w:rsid w:val="00DD245F"/>
    <w:rsid w:val="00DD41D6"/>
    <w:rsid w:val="00DE732D"/>
    <w:rsid w:val="00E2328F"/>
    <w:rsid w:val="00E31763"/>
    <w:rsid w:val="00E568C5"/>
    <w:rsid w:val="00E84CA4"/>
    <w:rsid w:val="00EA06BF"/>
    <w:rsid w:val="00EB1AD2"/>
    <w:rsid w:val="00EB69C3"/>
    <w:rsid w:val="00ED68CF"/>
    <w:rsid w:val="00EE133E"/>
    <w:rsid w:val="00EF07CE"/>
    <w:rsid w:val="00F13F04"/>
    <w:rsid w:val="00F23EDA"/>
    <w:rsid w:val="00F302E2"/>
    <w:rsid w:val="00F40D4E"/>
    <w:rsid w:val="00F44EA8"/>
    <w:rsid w:val="00F60645"/>
    <w:rsid w:val="00F8038D"/>
    <w:rsid w:val="00F95637"/>
    <w:rsid w:val="00FA296F"/>
    <w:rsid w:val="00FB1D41"/>
    <w:rsid w:val="057B057E"/>
    <w:rsid w:val="05F30D32"/>
    <w:rsid w:val="068D08D4"/>
    <w:rsid w:val="07124931"/>
    <w:rsid w:val="072377EE"/>
    <w:rsid w:val="074E747D"/>
    <w:rsid w:val="08A948DD"/>
    <w:rsid w:val="08B033EE"/>
    <w:rsid w:val="08D62E1A"/>
    <w:rsid w:val="096068CD"/>
    <w:rsid w:val="0ABD4B23"/>
    <w:rsid w:val="0DBA07FA"/>
    <w:rsid w:val="0DFD361B"/>
    <w:rsid w:val="0EAC5D07"/>
    <w:rsid w:val="0FD56F15"/>
    <w:rsid w:val="0FF33479"/>
    <w:rsid w:val="117435AC"/>
    <w:rsid w:val="13A56CFD"/>
    <w:rsid w:val="14D8013E"/>
    <w:rsid w:val="19A96A43"/>
    <w:rsid w:val="1AEF4F04"/>
    <w:rsid w:val="1EC31EB0"/>
    <w:rsid w:val="1F244955"/>
    <w:rsid w:val="1F587EFF"/>
    <w:rsid w:val="1FDC3804"/>
    <w:rsid w:val="202622FB"/>
    <w:rsid w:val="20D065C8"/>
    <w:rsid w:val="24903240"/>
    <w:rsid w:val="276C68AF"/>
    <w:rsid w:val="28317289"/>
    <w:rsid w:val="28D32D53"/>
    <w:rsid w:val="294002E1"/>
    <w:rsid w:val="29882BD4"/>
    <w:rsid w:val="2A0A2BCD"/>
    <w:rsid w:val="2F4A3EC7"/>
    <w:rsid w:val="2FCA3C21"/>
    <w:rsid w:val="2FD65BA5"/>
    <w:rsid w:val="31EB5227"/>
    <w:rsid w:val="35752B7E"/>
    <w:rsid w:val="35A07DDD"/>
    <w:rsid w:val="3B25511B"/>
    <w:rsid w:val="3BA04240"/>
    <w:rsid w:val="3D185C00"/>
    <w:rsid w:val="406F6C54"/>
    <w:rsid w:val="42740628"/>
    <w:rsid w:val="442E0C9D"/>
    <w:rsid w:val="44452F77"/>
    <w:rsid w:val="466B1D91"/>
    <w:rsid w:val="47485333"/>
    <w:rsid w:val="48345525"/>
    <w:rsid w:val="48EF7F3A"/>
    <w:rsid w:val="492811B4"/>
    <w:rsid w:val="4AD30E4B"/>
    <w:rsid w:val="4B3F4B5F"/>
    <w:rsid w:val="4E456F71"/>
    <w:rsid w:val="513636DE"/>
    <w:rsid w:val="518B4091"/>
    <w:rsid w:val="589E4193"/>
    <w:rsid w:val="5FCE4A2E"/>
    <w:rsid w:val="632F20AB"/>
    <w:rsid w:val="64500DCB"/>
    <w:rsid w:val="66280F2A"/>
    <w:rsid w:val="6A260E4C"/>
    <w:rsid w:val="6ABB5FA5"/>
    <w:rsid w:val="6B74458A"/>
    <w:rsid w:val="6CEF52A0"/>
    <w:rsid w:val="6DCD4983"/>
    <w:rsid w:val="6DD0468B"/>
    <w:rsid w:val="710A3AC6"/>
    <w:rsid w:val="714A4AAD"/>
    <w:rsid w:val="71DB4CE6"/>
    <w:rsid w:val="727C099B"/>
    <w:rsid w:val="76A25E59"/>
    <w:rsid w:val="77961921"/>
    <w:rsid w:val="7B792D17"/>
    <w:rsid w:val="7BD462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59"/>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5"/>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link w:val="66"/>
    <w:qFormat/>
    <w:uiPriority w:val="0"/>
    <w:pPr>
      <w:keepNext/>
      <w:keepLines/>
      <w:spacing w:before="260" w:after="260" w:line="415" w:lineRule="auto"/>
      <w:outlineLvl w:val="2"/>
    </w:pPr>
    <w:rPr>
      <w:b/>
      <w:bCs/>
      <w:sz w:val="32"/>
      <w:szCs w:val="32"/>
    </w:rPr>
  </w:style>
  <w:style w:type="paragraph" w:styleId="5">
    <w:name w:val="heading 4"/>
    <w:basedOn w:val="1"/>
    <w:next w:val="1"/>
    <w:link w:val="72"/>
    <w:qFormat/>
    <w:uiPriority w:val="0"/>
    <w:pPr>
      <w:keepNext/>
      <w:keepLines/>
      <w:spacing w:before="280" w:after="290" w:line="374" w:lineRule="auto"/>
      <w:outlineLvl w:val="3"/>
    </w:pPr>
    <w:rPr>
      <w:rFonts w:ascii="Cambria" w:hAnsi="Cambria"/>
      <w:b/>
      <w:bCs/>
      <w:sz w:val="28"/>
      <w:szCs w:val="28"/>
    </w:rPr>
  </w:style>
  <w:style w:type="paragraph" w:styleId="6">
    <w:name w:val="heading 5"/>
    <w:basedOn w:val="1"/>
    <w:next w:val="1"/>
    <w:link w:val="60"/>
    <w:qFormat/>
    <w:uiPriority w:val="0"/>
    <w:pPr>
      <w:keepNext/>
      <w:keepLines/>
      <w:spacing w:before="280" w:after="290" w:line="374" w:lineRule="auto"/>
      <w:outlineLvl w:val="4"/>
    </w:pPr>
    <w:rPr>
      <w:b/>
      <w:bCs/>
      <w:sz w:val="28"/>
      <w:szCs w:val="28"/>
    </w:rPr>
  </w:style>
  <w:style w:type="paragraph" w:styleId="7">
    <w:name w:val="heading 6"/>
    <w:basedOn w:val="1"/>
    <w:next w:val="1"/>
    <w:link w:val="64"/>
    <w:qFormat/>
    <w:uiPriority w:val="0"/>
    <w:pPr>
      <w:keepNext/>
      <w:keepLines/>
      <w:spacing w:before="240" w:after="64" w:line="319" w:lineRule="auto"/>
      <w:outlineLvl w:val="5"/>
    </w:pPr>
    <w:rPr>
      <w:rFonts w:ascii="Cambria" w:hAnsi="Cambria"/>
      <w:b/>
      <w:bCs/>
      <w:sz w:val="24"/>
      <w:szCs w:val="24"/>
    </w:rPr>
  </w:style>
  <w:style w:type="paragraph" w:styleId="8">
    <w:name w:val="heading 7"/>
    <w:basedOn w:val="1"/>
    <w:next w:val="1"/>
    <w:link w:val="67"/>
    <w:qFormat/>
    <w:uiPriority w:val="0"/>
    <w:pPr>
      <w:keepNext/>
      <w:keepLines/>
      <w:spacing w:before="240" w:after="64" w:line="319" w:lineRule="auto"/>
      <w:outlineLvl w:val="6"/>
    </w:pPr>
    <w:rPr>
      <w:b/>
      <w:bCs/>
      <w:sz w:val="24"/>
      <w:szCs w:val="24"/>
    </w:rPr>
  </w:style>
  <w:style w:type="paragraph" w:styleId="9">
    <w:name w:val="heading 8"/>
    <w:basedOn w:val="1"/>
    <w:next w:val="1"/>
    <w:link w:val="68"/>
    <w:qFormat/>
    <w:uiPriority w:val="0"/>
    <w:pPr>
      <w:keepNext/>
      <w:keepLines/>
      <w:spacing w:before="240" w:after="64" w:line="319" w:lineRule="auto"/>
      <w:outlineLvl w:val="7"/>
    </w:pPr>
    <w:rPr>
      <w:rFonts w:ascii="Cambria" w:hAnsi="Cambria"/>
      <w:sz w:val="24"/>
      <w:szCs w:val="24"/>
    </w:rPr>
  </w:style>
  <w:style w:type="character" w:default="1" w:styleId="33">
    <w:name w:val="Default Paragraph Font"/>
    <w:unhideWhenUsed/>
    <w:qFormat/>
    <w:uiPriority w:val="1"/>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10">
    <w:name w:val="annotation subject"/>
    <w:basedOn w:val="11"/>
    <w:next w:val="11"/>
    <w:link w:val="79"/>
    <w:unhideWhenUsed/>
    <w:qFormat/>
    <w:uiPriority w:val="99"/>
    <w:rPr>
      <w:b/>
      <w:bCs/>
    </w:rPr>
  </w:style>
  <w:style w:type="paragraph" w:styleId="11">
    <w:name w:val="annotation text"/>
    <w:basedOn w:val="1"/>
    <w:link w:val="78"/>
    <w:unhideWhenUsed/>
    <w:qFormat/>
    <w:uiPriority w:val="99"/>
    <w:pPr>
      <w:jc w:val="left"/>
    </w:pPr>
  </w:style>
  <w:style w:type="paragraph" w:styleId="12">
    <w:name w:val="toc 7"/>
    <w:basedOn w:val="1"/>
    <w:next w:val="1"/>
    <w:qFormat/>
    <w:uiPriority w:val="0"/>
    <w:pPr>
      <w:ind w:left="1260"/>
      <w:jc w:val="left"/>
    </w:pPr>
    <w:rPr>
      <w:rFonts w:ascii="Calibri" w:hAnsi="Calibri"/>
      <w:sz w:val="18"/>
      <w:szCs w:val="18"/>
    </w:rPr>
  </w:style>
  <w:style w:type="paragraph" w:styleId="13">
    <w:name w:val="Normal Indent"/>
    <w:basedOn w:val="1"/>
    <w:qFormat/>
    <w:uiPriority w:val="0"/>
    <w:pPr>
      <w:autoSpaceDE w:val="0"/>
      <w:autoSpaceDN w:val="0"/>
      <w:adjustRightInd w:val="0"/>
      <w:ind w:firstLine="420"/>
      <w:jc w:val="left"/>
    </w:pPr>
    <w:rPr>
      <w:rFonts w:ascii="宋体"/>
      <w:kern w:val="0"/>
      <w:sz w:val="24"/>
    </w:rPr>
  </w:style>
  <w:style w:type="paragraph" w:styleId="14">
    <w:name w:val="Document Map"/>
    <w:basedOn w:val="1"/>
    <w:link w:val="63"/>
    <w:qFormat/>
    <w:uiPriority w:val="0"/>
    <w:rPr>
      <w:rFonts w:ascii="宋体"/>
      <w:sz w:val="18"/>
      <w:szCs w:val="18"/>
    </w:rPr>
  </w:style>
  <w:style w:type="paragraph" w:styleId="15">
    <w:name w:val="Body Text"/>
    <w:basedOn w:val="1"/>
    <w:link w:val="75"/>
    <w:qFormat/>
    <w:uiPriority w:val="0"/>
    <w:pPr>
      <w:widowControl/>
      <w:overflowPunct w:val="0"/>
      <w:autoSpaceDE w:val="0"/>
      <w:autoSpaceDN w:val="0"/>
      <w:adjustRightInd w:val="0"/>
      <w:spacing w:before="120" w:after="120"/>
      <w:ind w:left="2520"/>
      <w:jc w:val="left"/>
      <w:textAlignment w:val="baseline"/>
    </w:pPr>
    <w:rPr>
      <w:rFonts w:ascii="Book Antiqua" w:hAnsi="Book Antiqua"/>
      <w:kern w:val="0"/>
      <w:sz w:val="20"/>
      <w:szCs w:val="20"/>
    </w:rPr>
  </w:style>
  <w:style w:type="paragraph" w:styleId="16">
    <w:name w:val="Body Text Indent"/>
    <w:basedOn w:val="1"/>
    <w:qFormat/>
    <w:uiPriority w:val="0"/>
    <w:pPr>
      <w:spacing w:after="120"/>
      <w:ind w:left="420" w:leftChars="200"/>
    </w:pPr>
  </w:style>
  <w:style w:type="paragraph" w:styleId="17">
    <w:name w:val="toc 5"/>
    <w:basedOn w:val="1"/>
    <w:next w:val="1"/>
    <w:qFormat/>
    <w:uiPriority w:val="0"/>
    <w:pPr>
      <w:ind w:left="840"/>
      <w:jc w:val="left"/>
    </w:pPr>
    <w:rPr>
      <w:rFonts w:ascii="Calibri" w:hAnsi="Calibri"/>
      <w:sz w:val="18"/>
      <w:szCs w:val="18"/>
    </w:rPr>
  </w:style>
  <w:style w:type="paragraph" w:styleId="18">
    <w:name w:val="toc 3"/>
    <w:basedOn w:val="1"/>
    <w:next w:val="1"/>
    <w:qFormat/>
    <w:uiPriority w:val="39"/>
    <w:pPr>
      <w:ind w:left="420"/>
      <w:jc w:val="left"/>
    </w:pPr>
    <w:rPr>
      <w:rFonts w:ascii="Calibri" w:hAnsi="Calibri"/>
      <w:i/>
      <w:iCs/>
      <w:sz w:val="20"/>
      <w:szCs w:val="20"/>
    </w:rPr>
  </w:style>
  <w:style w:type="paragraph" w:styleId="19">
    <w:name w:val="Plain Text"/>
    <w:basedOn w:val="1"/>
    <w:qFormat/>
    <w:uiPriority w:val="0"/>
    <w:rPr>
      <w:rFonts w:ascii="宋体" w:hAnsi="Courier New"/>
    </w:rPr>
  </w:style>
  <w:style w:type="paragraph" w:styleId="20">
    <w:name w:val="toc 8"/>
    <w:basedOn w:val="1"/>
    <w:next w:val="1"/>
    <w:qFormat/>
    <w:uiPriority w:val="0"/>
    <w:pPr>
      <w:ind w:left="1470"/>
      <w:jc w:val="left"/>
    </w:pPr>
    <w:rPr>
      <w:rFonts w:ascii="Calibri" w:hAnsi="Calibri"/>
      <w:sz w:val="18"/>
      <w:szCs w:val="18"/>
    </w:rPr>
  </w:style>
  <w:style w:type="paragraph" w:styleId="21">
    <w:name w:val="Balloon Text"/>
    <w:basedOn w:val="1"/>
    <w:link w:val="62"/>
    <w:qFormat/>
    <w:uiPriority w:val="0"/>
    <w:rPr>
      <w:sz w:val="18"/>
      <w:szCs w:val="18"/>
    </w:rPr>
  </w:style>
  <w:style w:type="paragraph" w:styleId="22">
    <w:name w:val="footer"/>
    <w:basedOn w:val="1"/>
    <w:link w:val="71"/>
    <w:qFormat/>
    <w:uiPriority w:val="0"/>
    <w:pPr>
      <w:tabs>
        <w:tab w:val="center" w:pos="4153"/>
        <w:tab w:val="right" w:pos="8306"/>
      </w:tabs>
      <w:snapToGrid w:val="0"/>
      <w:jc w:val="left"/>
    </w:pPr>
    <w:rPr>
      <w:kern w:val="0"/>
      <w:sz w:val="18"/>
      <w:szCs w:val="18"/>
    </w:rPr>
  </w:style>
  <w:style w:type="paragraph" w:styleId="23">
    <w:name w:val="Body Text First Indent 2"/>
    <w:basedOn w:val="16"/>
    <w:qFormat/>
    <w:uiPriority w:val="0"/>
    <w:pPr>
      <w:ind w:firstLine="420" w:firstLineChars="200"/>
    </w:pPr>
  </w:style>
  <w:style w:type="paragraph" w:styleId="24">
    <w:name w:val="header"/>
    <w:basedOn w:val="1"/>
    <w:link w:val="70"/>
    <w:qFormat/>
    <w:uiPriority w:val="99"/>
    <w:pPr>
      <w:pBdr>
        <w:bottom w:val="single" w:color="auto" w:sz="6" w:space="1"/>
      </w:pBdr>
      <w:tabs>
        <w:tab w:val="center" w:pos="4153"/>
        <w:tab w:val="right" w:pos="8306"/>
      </w:tabs>
      <w:snapToGrid w:val="0"/>
      <w:jc w:val="center"/>
    </w:pPr>
    <w:rPr>
      <w:kern w:val="0"/>
      <w:sz w:val="18"/>
      <w:szCs w:val="18"/>
    </w:rPr>
  </w:style>
  <w:style w:type="paragraph" w:styleId="25">
    <w:name w:val="toc 1"/>
    <w:basedOn w:val="1"/>
    <w:next w:val="1"/>
    <w:qFormat/>
    <w:uiPriority w:val="39"/>
    <w:pPr>
      <w:spacing w:before="120" w:after="120"/>
      <w:jc w:val="left"/>
    </w:pPr>
    <w:rPr>
      <w:rFonts w:ascii="Calibri" w:hAnsi="Calibri"/>
      <w:b/>
      <w:bCs/>
      <w:caps/>
      <w:sz w:val="20"/>
      <w:szCs w:val="20"/>
    </w:rPr>
  </w:style>
  <w:style w:type="paragraph" w:styleId="26">
    <w:name w:val="toc 4"/>
    <w:basedOn w:val="1"/>
    <w:next w:val="1"/>
    <w:qFormat/>
    <w:uiPriority w:val="0"/>
    <w:pPr>
      <w:ind w:left="630"/>
      <w:jc w:val="left"/>
    </w:pPr>
    <w:rPr>
      <w:rFonts w:ascii="Calibri" w:hAnsi="Calibri"/>
      <w:sz w:val="18"/>
      <w:szCs w:val="18"/>
    </w:rPr>
  </w:style>
  <w:style w:type="paragraph" w:styleId="27">
    <w:name w:val="footnote text"/>
    <w:basedOn w:val="1"/>
    <w:link w:val="61"/>
    <w:qFormat/>
    <w:uiPriority w:val="0"/>
    <w:pPr>
      <w:snapToGrid w:val="0"/>
      <w:jc w:val="left"/>
    </w:pPr>
    <w:rPr>
      <w:sz w:val="18"/>
      <w:szCs w:val="18"/>
    </w:rPr>
  </w:style>
  <w:style w:type="paragraph" w:styleId="28">
    <w:name w:val="toc 6"/>
    <w:basedOn w:val="1"/>
    <w:next w:val="1"/>
    <w:qFormat/>
    <w:uiPriority w:val="0"/>
    <w:pPr>
      <w:ind w:left="1050"/>
      <w:jc w:val="left"/>
    </w:pPr>
    <w:rPr>
      <w:rFonts w:ascii="Calibri" w:hAnsi="Calibri"/>
      <w:sz w:val="18"/>
      <w:szCs w:val="18"/>
    </w:rPr>
  </w:style>
  <w:style w:type="paragraph" w:styleId="29">
    <w:name w:val="toc 2"/>
    <w:basedOn w:val="1"/>
    <w:next w:val="1"/>
    <w:qFormat/>
    <w:uiPriority w:val="39"/>
    <w:pPr>
      <w:ind w:left="210"/>
      <w:jc w:val="left"/>
    </w:pPr>
    <w:rPr>
      <w:rFonts w:ascii="Calibri" w:hAnsi="Calibri"/>
      <w:smallCaps/>
      <w:sz w:val="20"/>
      <w:szCs w:val="20"/>
    </w:rPr>
  </w:style>
  <w:style w:type="paragraph" w:styleId="30">
    <w:name w:val="toc 9"/>
    <w:basedOn w:val="1"/>
    <w:next w:val="1"/>
    <w:qFormat/>
    <w:uiPriority w:val="0"/>
    <w:pPr>
      <w:ind w:left="1680"/>
      <w:jc w:val="left"/>
    </w:pPr>
    <w:rPr>
      <w:rFonts w:ascii="Calibri" w:hAnsi="Calibri"/>
      <w:sz w:val="18"/>
      <w:szCs w:val="18"/>
    </w:rPr>
  </w:style>
  <w:style w:type="paragraph" w:styleId="31">
    <w:name w:val="Normal (Web)"/>
    <w:basedOn w:val="1"/>
    <w:qFormat/>
    <w:uiPriority w:val="0"/>
    <w:pPr>
      <w:spacing w:before="100" w:beforeAutospacing="1" w:after="100" w:afterAutospacing="1"/>
      <w:jc w:val="left"/>
    </w:pPr>
    <w:rPr>
      <w:kern w:val="0"/>
      <w:sz w:val="24"/>
      <w:szCs w:val="24"/>
    </w:rPr>
  </w:style>
  <w:style w:type="paragraph" w:styleId="32">
    <w:name w:val="Title"/>
    <w:link w:val="74"/>
    <w:qFormat/>
    <w:uiPriority w:val="0"/>
    <w:pPr>
      <w:keepLines/>
      <w:overflowPunct w:val="0"/>
      <w:autoSpaceDE w:val="0"/>
      <w:autoSpaceDN w:val="0"/>
      <w:adjustRightInd w:val="0"/>
      <w:spacing w:after="120"/>
      <w:ind w:left="2520" w:right="720"/>
      <w:textAlignment w:val="baseline"/>
    </w:pPr>
    <w:rPr>
      <w:rFonts w:ascii="Book Antiqua" w:hAnsi="Book Antiqua" w:eastAsia="宋体" w:cs="Times New Roman"/>
      <w:sz w:val="48"/>
      <w:lang w:val="en-US" w:eastAsia="zh-CN" w:bidi="ar-SA"/>
    </w:rPr>
  </w:style>
  <w:style w:type="character" w:styleId="34">
    <w:name w:val="Hyperlink"/>
    <w:qFormat/>
    <w:uiPriority w:val="99"/>
    <w:rPr>
      <w:color w:val="0000FF"/>
      <w:u w:val="single"/>
    </w:rPr>
  </w:style>
  <w:style w:type="character" w:styleId="35">
    <w:name w:val="annotation reference"/>
    <w:basedOn w:val="33"/>
    <w:unhideWhenUsed/>
    <w:qFormat/>
    <w:uiPriority w:val="99"/>
    <w:rPr>
      <w:sz w:val="21"/>
      <w:szCs w:val="21"/>
    </w:rPr>
  </w:style>
  <w:style w:type="character" w:styleId="36">
    <w:name w:val="footnote reference"/>
    <w:qFormat/>
    <w:uiPriority w:val="0"/>
    <w:rPr>
      <w:vertAlign w:val="superscript"/>
    </w:rPr>
  </w:style>
  <w:style w:type="paragraph" w:customStyle="1" w:styleId="38">
    <w:name w:val="潍柴文档标题1"/>
    <w:basedOn w:val="2"/>
    <w:next w:val="39"/>
    <w:qFormat/>
    <w:uiPriority w:val="0"/>
    <w:pPr>
      <w:pageBreakBefore/>
      <w:numPr>
        <w:ilvl w:val="0"/>
        <w:numId w:val="1"/>
      </w:numPr>
      <w:pBdr>
        <w:top w:val="single" w:color="auto" w:sz="48" w:space="1"/>
      </w:pBdr>
      <w:spacing w:before="0" w:after="0" w:line="360" w:lineRule="auto"/>
    </w:pPr>
    <w:rPr>
      <w:sz w:val="28"/>
    </w:rPr>
  </w:style>
  <w:style w:type="paragraph" w:customStyle="1" w:styleId="39">
    <w:name w:val="潍柴文档正文"/>
    <w:basedOn w:val="1"/>
    <w:qFormat/>
    <w:uiPriority w:val="0"/>
    <w:pPr>
      <w:spacing w:line="360" w:lineRule="auto"/>
      <w:ind w:firstLine="200" w:firstLineChars="200"/>
    </w:pPr>
    <w:rPr>
      <w:sz w:val="24"/>
    </w:rPr>
  </w:style>
  <w:style w:type="paragraph" w:customStyle="1" w:styleId="40">
    <w:name w:val="潍柴投标邀请函一级编号"/>
    <w:basedOn w:val="41"/>
    <w:qFormat/>
    <w:uiPriority w:val="0"/>
    <w:pPr>
      <w:numPr>
        <w:ilvl w:val="0"/>
        <w:numId w:val="2"/>
      </w:numPr>
      <w:ind w:left="600" w:hanging="200" w:hangingChars="200"/>
    </w:pPr>
  </w:style>
  <w:style w:type="paragraph" w:customStyle="1" w:styleId="41">
    <w:name w:val="潍柴投标邀请函正文"/>
    <w:basedOn w:val="39"/>
    <w:qFormat/>
    <w:uiPriority w:val="0"/>
    <w:pPr>
      <w:widowControl/>
      <w:ind w:left="400" w:leftChars="400"/>
    </w:pPr>
  </w:style>
  <w:style w:type="paragraph" w:customStyle="1" w:styleId="42">
    <w:name w:val="潍柴文档图编号"/>
    <w:basedOn w:val="9"/>
    <w:next w:val="39"/>
    <w:qFormat/>
    <w:uiPriority w:val="0"/>
    <w:pPr>
      <w:numPr>
        <w:ilvl w:val="7"/>
        <w:numId w:val="1"/>
      </w:numPr>
      <w:spacing w:before="0" w:after="20" w:line="360" w:lineRule="auto"/>
      <w:jc w:val="center"/>
    </w:pPr>
  </w:style>
  <w:style w:type="paragraph" w:customStyle="1" w:styleId="43">
    <w:name w:val="Table Heading"/>
    <w:basedOn w:val="44"/>
    <w:qFormat/>
    <w:uiPriority w:val="0"/>
    <w:pPr>
      <w:spacing w:before="120" w:after="120"/>
    </w:pPr>
    <w:rPr>
      <w:b/>
    </w:rPr>
  </w:style>
  <w:style w:type="paragraph" w:customStyle="1" w:styleId="44">
    <w:name w:val="Table Text"/>
    <w:basedOn w:val="1"/>
    <w:qFormat/>
    <w:uiPriority w:val="0"/>
    <w:pPr>
      <w:keepLines/>
      <w:widowControl/>
      <w:overflowPunct w:val="0"/>
      <w:autoSpaceDE w:val="0"/>
      <w:autoSpaceDN w:val="0"/>
      <w:adjustRightInd w:val="0"/>
      <w:jc w:val="left"/>
      <w:textAlignment w:val="baseline"/>
    </w:pPr>
    <w:rPr>
      <w:rFonts w:ascii="Book Antiqua" w:hAnsi="Book Antiqua"/>
      <w:kern w:val="0"/>
      <w:sz w:val="16"/>
      <w:szCs w:val="20"/>
    </w:rPr>
  </w:style>
  <w:style w:type="paragraph" w:customStyle="1" w:styleId="45">
    <w:name w:val="潍柴文档标题4"/>
    <w:basedOn w:val="5"/>
    <w:next w:val="39"/>
    <w:qFormat/>
    <w:uiPriority w:val="0"/>
    <w:pPr>
      <w:numPr>
        <w:ilvl w:val="3"/>
        <w:numId w:val="1"/>
      </w:numPr>
      <w:pBdr>
        <w:bottom w:val="single" w:color="auto" w:sz="2" w:space="1"/>
      </w:pBdr>
    </w:pPr>
    <w:rPr>
      <w:rFonts w:ascii="Times New Roman" w:hAnsi="Times New Roman"/>
    </w:rPr>
  </w:style>
  <w:style w:type="paragraph" w:customStyle="1" w:styleId="46">
    <w:name w:val="潍柴文档标题7"/>
    <w:basedOn w:val="8"/>
    <w:next w:val="39"/>
    <w:qFormat/>
    <w:uiPriority w:val="0"/>
    <w:pPr>
      <w:numPr>
        <w:ilvl w:val="6"/>
        <w:numId w:val="1"/>
      </w:numPr>
      <w:pBdr>
        <w:bottom w:val="single" w:color="auto" w:sz="2" w:space="1"/>
      </w:pBdr>
      <w:spacing w:before="0" w:after="0" w:line="360" w:lineRule="auto"/>
    </w:pPr>
    <w:rPr>
      <w:sz w:val="28"/>
    </w:rPr>
  </w:style>
  <w:style w:type="paragraph" w:customStyle="1" w:styleId="47">
    <w:name w:val="潍柴文档正文二级标题"/>
    <w:basedOn w:val="39"/>
    <w:qFormat/>
    <w:uiPriority w:val="0"/>
    <w:pPr>
      <w:numPr>
        <w:ilvl w:val="0"/>
        <w:numId w:val="3"/>
      </w:numPr>
      <w:ind w:firstLine="0" w:firstLineChars="0"/>
    </w:pPr>
  </w:style>
  <w:style w:type="paragraph" w:customStyle="1" w:styleId="48">
    <w:name w:val="文档正文"/>
    <w:basedOn w:val="1"/>
    <w:qFormat/>
    <w:uiPriority w:val="0"/>
    <w:pPr>
      <w:adjustRightInd w:val="0"/>
      <w:spacing w:line="480" w:lineRule="atLeast"/>
      <w:ind w:firstLine="480" w:firstLineChars="200"/>
      <w:textAlignment w:val="baseline"/>
    </w:pPr>
    <w:rPr>
      <w:rFonts w:ascii="宋体" w:cs="宋体"/>
      <w:sz w:val="24"/>
    </w:rPr>
  </w:style>
  <w:style w:type="paragraph" w:customStyle="1" w:styleId="49">
    <w:name w:val="条"/>
    <w:basedOn w:val="1"/>
    <w:qFormat/>
    <w:uiPriority w:val="0"/>
    <w:pPr>
      <w:spacing w:line="360" w:lineRule="auto"/>
      <w:jc w:val="left"/>
    </w:pPr>
    <w:rPr>
      <w:sz w:val="24"/>
      <w:szCs w:val="20"/>
    </w:rPr>
  </w:style>
  <w:style w:type="paragraph" w:customStyle="1" w:styleId="50">
    <w:name w:val="潍柴文档表编号"/>
    <w:basedOn w:val="39"/>
    <w:next w:val="39"/>
    <w:qFormat/>
    <w:uiPriority w:val="0"/>
    <w:pPr>
      <w:numPr>
        <w:ilvl w:val="8"/>
        <w:numId w:val="1"/>
      </w:numPr>
      <w:spacing w:before="312" w:beforeLines="100"/>
      <w:ind w:firstLineChars="0"/>
      <w:jc w:val="center"/>
    </w:pPr>
  </w:style>
  <w:style w:type="paragraph" w:customStyle="1" w:styleId="51">
    <w:name w:val="无间隔1"/>
    <w:link w:val="73"/>
    <w:qFormat/>
    <w:uiPriority w:val="0"/>
    <w:rPr>
      <w:rFonts w:ascii="Times New Roman" w:hAnsi="Times New Roman" w:eastAsia="宋体" w:cs="Times New Roman"/>
      <w:sz w:val="22"/>
      <w:szCs w:val="22"/>
      <w:lang w:val="en-US" w:eastAsia="zh-CN" w:bidi="ar-SA"/>
    </w:rPr>
  </w:style>
  <w:style w:type="paragraph" w:customStyle="1" w:styleId="52">
    <w:name w:val="潍柴文档标题3"/>
    <w:basedOn w:val="4"/>
    <w:next w:val="39"/>
    <w:qFormat/>
    <w:uiPriority w:val="0"/>
    <w:pPr>
      <w:numPr>
        <w:ilvl w:val="2"/>
        <w:numId w:val="1"/>
      </w:numPr>
      <w:pBdr>
        <w:bottom w:val="single" w:color="auto" w:sz="2" w:space="1"/>
      </w:pBdr>
      <w:spacing w:before="0" w:after="0" w:line="360" w:lineRule="auto"/>
    </w:pPr>
    <w:rPr>
      <w:sz w:val="28"/>
    </w:rPr>
  </w:style>
  <w:style w:type="paragraph" w:customStyle="1" w:styleId="53">
    <w:name w:val="潍柴文档标题5"/>
    <w:basedOn w:val="6"/>
    <w:next w:val="39"/>
    <w:qFormat/>
    <w:uiPriority w:val="0"/>
    <w:pPr>
      <w:numPr>
        <w:ilvl w:val="4"/>
        <w:numId w:val="1"/>
      </w:numPr>
      <w:pBdr>
        <w:bottom w:val="single" w:color="auto" w:sz="2" w:space="1"/>
      </w:pBdr>
      <w:spacing w:before="0" w:after="0" w:line="360" w:lineRule="auto"/>
    </w:pPr>
  </w:style>
  <w:style w:type="paragraph" w:customStyle="1" w:styleId="54">
    <w:name w:val="潍柴文档标题6"/>
    <w:basedOn w:val="7"/>
    <w:next w:val="39"/>
    <w:qFormat/>
    <w:uiPriority w:val="0"/>
    <w:pPr>
      <w:numPr>
        <w:ilvl w:val="5"/>
        <w:numId w:val="1"/>
      </w:numPr>
      <w:pBdr>
        <w:bottom w:val="single" w:color="auto" w:sz="2" w:space="1"/>
      </w:pBdr>
      <w:spacing w:before="0" w:after="0" w:line="360" w:lineRule="auto"/>
    </w:pPr>
    <w:rPr>
      <w:rFonts w:ascii="Times New Roman" w:hAnsi="Times New Roman"/>
      <w:sz w:val="28"/>
    </w:rPr>
  </w:style>
  <w:style w:type="paragraph" w:customStyle="1" w:styleId="55">
    <w:name w:val="潍柴文档正文一级标题"/>
    <w:basedOn w:val="39"/>
    <w:qFormat/>
    <w:uiPriority w:val="0"/>
    <w:pPr>
      <w:numPr>
        <w:ilvl w:val="0"/>
        <w:numId w:val="4"/>
      </w:numPr>
      <w:ind w:firstLine="0" w:firstLineChars="0"/>
    </w:pPr>
  </w:style>
  <w:style w:type="paragraph" w:customStyle="1" w:styleId="56">
    <w:name w:val="节"/>
    <w:basedOn w:val="1"/>
    <w:qFormat/>
    <w:uiPriority w:val="0"/>
    <w:pPr>
      <w:spacing w:line="360" w:lineRule="auto"/>
      <w:jc w:val="left"/>
    </w:pPr>
    <w:rPr>
      <w:b/>
      <w:sz w:val="24"/>
      <w:szCs w:val="20"/>
    </w:rPr>
  </w:style>
  <w:style w:type="paragraph" w:customStyle="1" w:styleId="57">
    <w:name w:val="潍柴文档标题2"/>
    <w:basedOn w:val="3"/>
    <w:next w:val="39"/>
    <w:qFormat/>
    <w:uiPriority w:val="0"/>
    <w:pPr>
      <w:numPr>
        <w:ilvl w:val="1"/>
        <w:numId w:val="1"/>
      </w:numPr>
      <w:pBdr>
        <w:bottom w:val="single" w:color="auto" w:sz="2" w:space="1"/>
      </w:pBdr>
      <w:spacing w:before="0" w:after="0" w:line="360" w:lineRule="auto"/>
      <w:jc w:val="left"/>
    </w:pPr>
    <w:rPr>
      <w:rFonts w:ascii="Times New Roman" w:hAnsi="Times New Roman"/>
      <w:sz w:val="28"/>
    </w:rPr>
  </w:style>
  <w:style w:type="paragraph" w:customStyle="1" w:styleId="5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9">
    <w:name w:val="标题 1 字符"/>
    <w:link w:val="2"/>
    <w:qFormat/>
    <w:uiPriority w:val="0"/>
    <w:rPr>
      <w:b/>
      <w:bCs/>
      <w:kern w:val="44"/>
      <w:sz w:val="44"/>
      <w:szCs w:val="44"/>
    </w:rPr>
  </w:style>
  <w:style w:type="character" w:customStyle="1" w:styleId="60">
    <w:name w:val="标题 5 字符"/>
    <w:link w:val="6"/>
    <w:qFormat/>
    <w:uiPriority w:val="0"/>
    <w:rPr>
      <w:b/>
      <w:bCs/>
      <w:kern w:val="2"/>
      <w:sz w:val="28"/>
      <w:szCs w:val="28"/>
    </w:rPr>
  </w:style>
  <w:style w:type="character" w:customStyle="1" w:styleId="61">
    <w:name w:val="脚注文本 字符"/>
    <w:link w:val="27"/>
    <w:qFormat/>
    <w:uiPriority w:val="0"/>
    <w:rPr>
      <w:kern w:val="2"/>
      <w:sz w:val="18"/>
      <w:szCs w:val="18"/>
    </w:rPr>
  </w:style>
  <w:style w:type="character" w:customStyle="1" w:styleId="62">
    <w:name w:val="批注框文本 字符"/>
    <w:link w:val="21"/>
    <w:qFormat/>
    <w:uiPriority w:val="0"/>
    <w:rPr>
      <w:kern w:val="2"/>
      <w:sz w:val="18"/>
      <w:szCs w:val="18"/>
    </w:rPr>
  </w:style>
  <w:style w:type="character" w:customStyle="1" w:styleId="63">
    <w:name w:val="文档结构图 字符"/>
    <w:link w:val="14"/>
    <w:qFormat/>
    <w:uiPriority w:val="0"/>
    <w:rPr>
      <w:rFonts w:ascii="宋体"/>
      <w:kern w:val="2"/>
      <w:sz w:val="18"/>
      <w:szCs w:val="18"/>
    </w:rPr>
  </w:style>
  <w:style w:type="character" w:customStyle="1" w:styleId="64">
    <w:name w:val="标题 6 字符"/>
    <w:link w:val="7"/>
    <w:qFormat/>
    <w:uiPriority w:val="0"/>
    <w:rPr>
      <w:rFonts w:ascii="Cambria" w:hAnsi="Cambria" w:eastAsia="宋体" w:cs="Times New Roman"/>
      <w:b/>
      <w:bCs/>
      <w:kern w:val="2"/>
      <w:sz w:val="24"/>
      <w:szCs w:val="24"/>
    </w:rPr>
  </w:style>
  <w:style w:type="character" w:customStyle="1" w:styleId="65">
    <w:name w:val="标题 2 字符"/>
    <w:link w:val="3"/>
    <w:qFormat/>
    <w:uiPriority w:val="0"/>
    <w:rPr>
      <w:rFonts w:ascii="Cambria" w:hAnsi="Cambria" w:eastAsia="宋体" w:cs="Times New Roman"/>
      <w:b/>
      <w:bCs/>
      <w:kern w:val="2"/>
      <w:sz w:val="32"/>
      <w:szCs w:val="32"/>
    </w:rPr>
  </w:style>
  <w:style w:type="character" w:customStyle="1" w:styleId="66">
    <w:name w:val="标题 3 字符"/>
    <w:link w:val="4"/>
    <w:qFormat/>
    <w:uiPriority w:val="0"/>
    <w:rPr>
      <w:b/>
      <w:bCs/>
      <w:kern w:val="2"/>
      <w:sz w:val="32"/>
      <w:szCs w:val="32"/>
    </w:rPr>
  </w:style>
  <w:style w:type="character" w:customStyle="1" w:styleId="67">
    <w:name w:val="标题 7 字符"/>
    <w:link w:val="8"/>
    <w:qFormat/>
    <w:uiPriority w:val="0"/>
    <w:rPr>
      <w:b/>
      <w:bCs/>
      <w:kern w:val="2"/>
      <w:sz w:val="24"/>
      <w:szCs w:val="24"/>
    </w:rPr>
  </w:style>
  <w:style w:type="character" w:customStyle="1" w:styleId="68">
    <w:name w:val="标题 8 字符"/>
    <w:link w:val="9"/>
    <w:qFormat/>
    <w:uiPriority w:val="0"/>
    <w:rPr>
      <w:rFonts w:ascii="Cambria" w:hAnsi="Cambria" w:eastAsia="宋体" w:cs="Times New Roman"/>
      <w:kern w:val="2"/>
      <w:sz w:val="24"/>
      <w:szCs w:val="24"/>
    </w:rPr>
  </w:style>
  <w:style w:type="character" w:customStyle="1" w:styleId="69">
    <w:name w:val="正文文本 Char"/>
    <w:qFormat/>
    <w:uiPriority w:val="0"/>
    <w:rPr>
      <w:kern w:val="2"/>
      <w:sz w:val="21"/>
      <w:szCs w:val="22"/>
    </w:rPr>
  </w:style>
  <w:style w:type="character" w:customStyle="1" w:styleId="70">
    <w:name w:val="页眉 字符"/>
    <w:link w:val="24"/>
    <w:qFormat/>
    <w:uiPriority w:val="99"/>
    <w:rPr>
      <w:sz w:val="18"/>
      <w:szCs w:val="18"/>
    </w:rPr>
  </w:style>
  <w:style w:type="character" w:customStyle="1" w:styleId="71">
    <w:name w:val="页脚 字符"/>
    <w:link w:val="22"/>
    <w:qFormat/>
    <w:uiPriority w:val="0"/>
    <w:rPr>
      <w:sz w:val="18"/>
      <w:szCs w:val="18"/>
    </w:rPr>
  </w:style>
  <w:style w:type="character" w:customStyle="1" w:styleId="72">
    <w:name w:val="标题 4 字符"/>
    <w:link w:val="5"/>
    <w:qFormat/>
    <w:uiPriority w:val="0"/>
    <w:rPr>
      <w:rFonts w:ascii="Cambria" w:hAnsi="Cambria" w:eastAsia="宋体" w:cs="Times New Roman"/>
      <w:b/>
      <w:bCs/>
      <w:kern w:val="2"/>
      <w:sz w:val="28"/>
      <w:szCs w:val="28"/>
    </w:rPr>
  </w:style>
  <w:style w:type="character" w:customStyle="1" w:styleId="73">
    <w:name w:val="无间隔 字符"/>
    <w:link w:val="51"/>
    <w:qFormat/>
    <w:uiPriority w:val="0"/>
    <w:rPr>
      <w:sz w:val="22"/>
      <w:szCs w:val="22"/>
      <w:lang w:val="en-US" w:eastAsia="zh-CN" w:bidi="ar-SA"/>
    </w:rPr>
  </w:style>
  <w:style w:type="character" w:customStyle="1" w:styleId="74">
    <w:name w:val="标题 字符"/>
    <w:link w:val="32"/>
    <w:qFormat/>
    <w:uiPriority w:val="0"/>
    <w:rPr>
      <w:rFonts w:ascii="Book Antiqua" w:hAnsi="Book Antiqua"/>
      <w:sz w:val="48"/>
      <w:lang w:val="en-US" w:eastAsia="zh-CN" w:bidi="ar-SA"/>
    </w:rPr>
  </w:style>
  <w:style w:type="character" w:customStyle="1" w:styleId="75">
    <w:name w:val="正文文本 字符"/>
    <w:link w:val="15"/>
    <w:qFormat/>
    <w:uiPriority w:val="0"/>
    <w:rPr>
      <w:rFonts w:ascii="Book Antiqua" w:hAnsi="Book Antiqua"/>
    </w:rPr>
  </w:style>
  <w:style w:type="character" w:customStyle="1" w:styleId="76">
    <w:name w:val="font11"/>
    <w:basedOn w:val="33"/>
    <w:qFormat/>
    <w:uiPriority w:val="0"/>
    <w:rPr>
      <w:rFonts w:hint="default" w:ascii="微软雅黑 Light" w:hAnsi="微软雅黑 Light" w:eastAsia="微软雅黑 Light" w:cs="微软雅黑 Light"/>
      <w:color w:val="000000"/>
      <w:sz w:val="20"/>
      <w:szCs w:val="20"/>
      <w:u w:val="none"/>
    </w:rPr>
  </w:style>
  <w:style w:type="character" w:customStyle="1" w:styleId="77">
    <w:name w:val="font51"/>
    <w:basedOn w:val="33"/>
    <w:qFormat/>
    <w:uiPriority w:val="0"/>
    <w:rPr>
      <w:rFonts w:hint="default" w:ascii="微软雅黑 Light" w:hAnsi="微软雅黑 Light" w:eastAsia="微软雅黑 Light" w:cs="微软雅黑 Light"/>
      <w:color w:val="000000"/>
      <w:sz w:val="20"/>
      <w:szCs w:val="20"/>
      <w:u w:val="none"/>
    </w:rPr>
  </w:style>
  <w:style w:type="character" w:customStyle="1" w:styleId="78">
    <w:name w:val="批注文字 字符"/>
    <w:basedOn w:val="33"/>
    <w:link w:val="11"/>
    <w:semiHidden/>
    <w:qFormat/>
    <w:uiPriority w:val="99"/>
    <w:rPr>
      <w:kern w:val="2"/>
      <w:sz w:val="21"/>
      <w:szCs w:val="22"/>
    </w:rPr>
  </w:style>
  <w:style w:type="character" w:customStyle="1" w:styleId="79">
    <w:name w:val="批注主题 字符"/>
    <w:basedOn w:val="78"/>
    <w:link w:val="10"/>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97AA9-D34B-46A5-8446-FF99469291C6}">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23</Pages>
  <Words>1880</Words>
  <Characters>10720</Characters>
  <Lines>89</Lines>
  <Paragraphs>25</Paragraphs>
  <ScaleCrop>false</ScaleCrop>
  <LinksUpToDate>false</LinksUpToDate>
  <CharactersWithSpaces>12575</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2019-07-03T07:55:00Z</dcterms:created>
  <dc:creator>高庆</dc:creator>
  <cp:lastModifiedBy>未定义</cp:lastModifiedBy>
  <dcterms:modified xsi:type="dcterms:W3CDTF">2019-07-10T02:49:24Z</dcterms:modified>
  <dc:title>潍柴招标文件模板</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